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069E9D">
      <w:pPr>
        <w:spacing w:line="2000" w:lineRule="exact"/>
        <w:rPr>
          <w:rFonts w:hint="eastAsia" w:ascii="仿宋_GB2312" w:eastAsia="仿宋_GB2312"/>
          <w:sz w:val="32"/>
          <w:szCs w:val="32"/>
        </w:rPr>
      </w:pPr>
    </w:p>
    <w:p w14:paraId="1D5233A2">
      <w:pPr>
        <w:spacing w:line="560" w:lineRule="exact"/>
        <w:jc w:val="center"/>
        <w:rPr>
          <w:rFonts w:ascii="Times New Roman" w:hAnsi="Times New Roman" w:eastAsia="方正小标宋_GBK"/>
          <w:bCs/>
          <w:sz w:val="44"/>
          <w:szCs w:val="44"/>
        </w:rPr>
      </w:pPr>
      <w:r>
        <w:rPr>
          <w:rFonts w:ascii="Times New Roman" w:hAnsi="方正小标宋_GBK" w:eastAsia="方正小标宋_GBK"/>
          <w:bCs/>
          <w:sz w:val="44"/>
          <w:szCs w:val="44"/>
        </w:rPr>
        <w:t>关于印发</w:t>
      </w:r>
      <w:r>
        <w:rPr>
          <w:rFonts w:hint="eastAsia" w:ascii="Times New Roman" w:hAnsi="方正小标宋_GBK" w:eastAsia="方正小标宋_GBK"/>
          <w:bCs/>
          <w:sz w:val="44"/>
          <w:szCs w:val="44"/>
        </w:rPr>
        <w:t>《</w:t>
      </w:r>
      <w:r>
        <w:rPr>
          <w:rFonts w:ascii="Times New Roman" w:hAnsi="Times New Roman" w:eastAsia="方正小标宋_GBK"/>
          <w:bCs/>
          <w:sz w:val="44"/>
          <w:szCs w:val="44"/>
        </w:rPr>
        <w:t>202</w:t>
      </w:r>
      <w:r>
        <w:rPr>
          <w:rFonts w:hint="eastAsia" w:ascii="Times New Roman" w:hAnsi="Times New Roman" w:eastAsia="方正小标宋_GBK"/>
          <w:bCs/>
          <w:sz w:val="44"/>
          <w:szCs w:val="44"/>
        </w:rPr>
        <w:t>6</w:t>
      </w:r>
      <w:r>
        <w:rPr>
          <w:rFonts w:ascii="Times New Roman" w:hAnsi="方正小标宋_GBK" w:eastAsia="方正小标宋_GBK"/>
          <w:bCs/>
          <w:sz w:val="44"/>
          <w:szCs w:val="44"/>
        </w:rPr>
        <w:t>年度淮安市</w:t>
      </w:r>
      <w:r>
        <w:rPr>
          <w:rFonts w:hint="eastAsia" w:ascii="Times New Roman" w:hAnsi="Times New Roman" w:eastAsia="方正小标宋_GBK"/>
          <w:bCs/>
          <w:sz w:val="44"/>
          <w:szCs w:val="44"/>
        </w:rPr>
        <w:t>“</w:t>
      </w:r>
      <w:r>
        <w:rPr>
          <w:rFonts w:ascii="Times New Roman" w:hAnsi="方正小标宋_GBK" w:eastAsia="方正小标宋_GBK"/>
          <w:bCs/>
          <w:sz w:val="44"/>
          <w:szCs w:val="44"/>
        </w:rPr>
        <w:t>双名</w:t>
      </w:r>
      <w:r>
        <w:rPr>
          <w:rFonts w:hint="eastAsia" w:ascii="Times New Roman" w:hAnsi="Times New Roman" w:eastAsia="方正小标宋_GBK"/>
          <w:bCs/>
          <w:sz w:val="44"/>
          <w:szCs w:val="44"/>
        </w:rPr>
        <w:t>”</w:t>
      </w:r>
      <w:r>
        <w:rPr>
          <w:rFonts w:ascii="Times New Roman" w:hAnsi="方正小标宋_GBK" w:eastAsia="方正小标宋_GBK"/>
          <w:bCs/>
          <w:sz w:val="44"/>
          <w:szCs w:val="44"/>
        </w:rPr>
        <w:t>工程</w:t>
      </w:r>
    </w:p>
    <w:p w14:paraId="53BDC3D1">
      <w:pPr>
        <w:spacing w:line="560" w:lineRule="exact"/>
        <w:jc w:val="center"/>
        <w:rPr>
          <w:rFonts w:hint="eastAsia" w:ascii="方正小标宋_GBK" w:hAnsi="宋体" w:eastAsia="方正小标宋_GBK"/>
          <w:sz w:val="44"/>
          <w:szCs w:val="44"/>
        </w:rPr>
      </w:pPr>
      <w:r>
        <w:rPr>
          <w:rFonts w:hint="eastAsia" w:ascii="Times New Roman" w:hAnsi="方正小标宋_GBK" w:eastAsia="方正小标宋_GBK"/>
          <w:bCs/>
          <w:sz w:val="44"/>
          <w:szCs w:val="44"/>
        </w:rPr>
        <w:t>奖励类</w:t>
      </w:r>
      <w:r>
        <w:rPr>
          <w:rFonts w:ascii="Times New Roman" w:hAnsi="方正小标宋_GBK" w:eastAsia="方正小标宋_GBK"/>
          <w:bCs/>
          <w:sz w:val="44"/>
          <w:szCs w:val="44"/>
        </w:rPr>
        <w:t>项目</w:t>
      </w:r>
      <w:r>
        <w:rPr>
          <w:rFonts w:hint="eastAsia" w:ascii="Times New Roman" w:hAnsi="方正小标宋_GBK" w:eastAsia="方正小标宋_GBK"/>
          <w:bCs/>
          <w:sz w:val="44"/>
          <w:szCs w:val="44"/>
        </w:rPr>
        <w:t>免申直补方案》</w:t>
      </w:r>
      <w:r>
        <w:rPr>
          <w:rFonts w:ascii="Times New Roman" w:hAnsi="方正小标宋_GBK" w:eastAsia="方正小标宋_GBK"/>
          <w:bCs/>
          <w:sz w:val="44"/>
          <w:szCs w:val="44"/>
        </w:rPr>
        <w:t>的通知</w:t>
      </w:r>
    </w:p>
    <w:p w14:paraId="00D5CDB2">
      <w:pPr>
        <w:spacing w:line="560" w:lineRule="exact"/>
        <w:ind w:firstLine="640" w:firstLineChars="200"/>
        <w:rPr>
          <w:rFonts w:hint="eastAsia" w:ascii="仿宋_GB2312" w:eastAsia="仿宋_GB2312"/>
          <w:sz w:val="32"/>
        </w:rPr>
      </w:pPr>
    </w:p>
    <w:p w14:paraId="57424BA7">
      <w:pPr>
        <w:spacing w:line="600" w:lineRule="exact"/>
        <w:rPr>
          <w:rFonts w:hint="eastAsia" w:ascii="Times New Roman" w:hAnsi="Times New Roman" w:eastAsia="方正仿宋_GBK" w:cs="仿宋_GB2312"/>
          <w:bCs/>
          <w:kern w:val="0"/>
          <w:sz w:val="32"/>
          <w:szCs w:val="32"/>
        </w:rPr>
      </w:pPr>
      <w:r>
        <w:rPr>
          <w:rFonts w:hint="eastAsia" w:ascii="Times New Roman" w:hAnsi="Times New Roman" w:eastAsia="方正仿宋_GBK" w:cs="仿宋_GB2312"/>
          <w:bCs/>
          <w:kern w:val="0"/>
          <w:sz w:val="32"/>
          <w:szCs w:val="32"/>
        </w:rPr>
        <w:t>各县区文广旅游局，经济技术开发区、生态文旅区社会事业局，工业园区综合服务局，驻淮各有关高校，市各有关单位：</w:t>
      </w:r>
    </w:p>
    <w:p w14:paraId="216A7755">
      <w:pPr>
        <w:spacing w:line="600" w:lineRule="exact"/>
        <w:ind w:firstLine="640" w:firstLineChars="200"/>
        <w:rPr>
          <w:rFonts w:hint="eastAsia" w:ascii="Times New Roman" w:hAnsi="Times New Roman" w:eastAsia="方正仿宋_GBK" w:cs="仿宋_GB2312"/>
          <w:bCs/>
          <w:kern w:val="0"/>
          <w:sz w:val="32"/>
          <w:szCs w:val="32"/>
        </w:rPr>
      </w:pPr>
      <w:r>
        <w:rPr>
          <w:rFonts w:hint="eastAsia" w:ascii="Times New Roman" w:hAnsi="Times New Roman" w:eastAsia="方正仿宋_GBK" w:cs="仿宋_GB2312"/>
          <w:bCs/>
          <w:kern w:val="0"/>
          <w:sz w:val="32"/>
          <w:szCs w:val="32"/>
        </w:rPr>
        <w:t>为繁荣淮安文艺事业，推动文化事业高质量发展，根据《淮安市培养文艺名家打造精品名作工程实施意见》(淮文旅发  〔</w:t>
      </w:r>
      <w:r>
        <w:rPr>
          <w:rFonts w:hint="eastAsia" w:ascii="Times New Roman" w:hAnsi="Times New Roman" w:eastAsia="方正仿宋_GBK"/>
          <w:sz w:val="32"/>
          <w:szCs w:val="32"/>
        </w:rPr>
        <w:t>2024</w:t>
      </w:r>
      <w:r>
        <w:rPr>
          <w:rFonts w:hint="eastAsia" w:ascii="Times New Roman" w:hAnsi="Times New Roman" w:eastAsia="方正仿宋_GBK" w:cs="仿宋_GB2312"/>
          <w:bCs/>
          <w:kern w:val="0"/>
          <w:sz w:val="32"/>
          <w:szCs w:val="32"/>
        </w:rPr>
        <w:t>〕</w:t>
      </w:r>
      <w:r>
        <w:rPr>
          <w:rFonts w:hint="eastAsia" w:ascii="Times New Roman" w:hAnsi="Times New Roman" w:eastAsia="方正仿宋_GBK"/>
          <w:sz w:val="32"/>
          <w:szCs w:val="32"/>
        </w:rPr>
        <w:t>72</w:t>
      </w:r>
      <w:r>
        <w:rPr>
          <w:rFonts w:hint="eastAsia" w:ascii="Times New Roman" w:hAnsi="Times New Roman" w:eastAsia="方正仿宋_GBK" w:cs="仿宋_GB2312"/>
          <w:bCs/>
          <w:kern w:val="0"/>
          <w:sz w:val="32"/>
          <w:szCs w:val="32"/>
        </w:rPr>
        <w:t>号)、《淮安市深化财政奖补集成服务改革完善财政奖补资金直达企业机制实施方案》（淮协调办发〔</w:t>
      </w:r>
      <w:r>
        <w:rPr>
          <w:rFonts w:hint="eastAsia" w:ascii="Times New Roman" w:hAnsi="Times New Roman" w:eastAsia="方正仿宋_GBK"/>
          <w:sz w:val="32"/>
          <w:szCs w:val="32"/>
        </w:rPr>
        <w:t>2021</w:t>
      </w:r>
      <w:r>
        <w:rPr>
          <w:rFonts w:hint="eastAsia" w:ascii="Times New Roman" w:hAnsi="Times New Roman" w:eastAsia="方正仿宋_GBK" w:cs="仿宋_GB2312"/>
          <w:bCs/>
          <w:kern w:val="0"/>
          <w:sz w:val="32"/>
          <w:szCs w:val="32"/>
        </w:rPr>
        <w:t>〕</w:t>
      </w:r>
      <w:r>
        <w:rPr>
          <w:rFonts w:hint="eastAsia" w:ascii="Times New Roman" w:hAnsi="Times New Roman" w:eastAsia="方正仿宋_GBK"/>
          <w:sz w:val="32"/>
          <w:szCs w:val="32"/>
        </w:rPr>
        <w:t>32</w:t>
      </w:r>
      <w:r>
        <w:rPr>
          <w:rFonts w:hint="eastAsia" w:ascii="Times New Roman" w:hAnsi="Times New Roman" w:eastAsia="方正仿宋_GBK" w:cs="仿宋_GB2312"/>
          <w:bCs/>
          <w:kern w:val="0"/>
          <w:sz w:val="32"/>
          <w:szCs w:val="32"/>
        </w:rPr>
        <w:t>号）等文件精神，现将《</w:t>
      </w:r>
      <w:r>
        <w:rPr>
          <w:rFonts w:hint="eastAsia" w:ascii="Times New Roman" w:hAnsi="Times New Roman" w:eastAsia="方正仿宋_GBK"/>
          <w:sz w:val="32"/>
          <w:szCs w:val="32"/>
        </w:rPr>
        <w:t>2026</w:t>
      </w:r>
      <w:r>
        <w:rPr>
          <w:rFonts w:hint="eastAsia" w:ascii="Times New Roman" w:hAnsi="Times New Roman" w:eastAsia="方正仿宋_GBK" w:cs="仿宋_GB2312"/>
          <w:bCs/>
          <w:kern w:val="0"/>
          <w:sz w:val="32"/>
          <w:szCs w:val="32"/>
        </w:rPr>
        <w:t>年度淮安市“双名”工程奖励类项目免申直补方案》印发给你们，请按照要求认真做好本年度项目申报工作。</w:t>
      </w:r>
    </w:p>
    <w:p w14:paraId="77289D06">
      <w:pPr>
        <w:spacing w:line="600" w:lineRule="exact"/>
        <w:ind w:firstLine="640" w:firstLineChars="200"/>
        <w:rPr>
          <w:rFonts w:hint="eastAsia" w:ascii="Times New Roman" w:hAnsi="Times New Roman" w:eastAsia="方正仿宋_GBK" w:cs="仿宋_GB2312"/>
          <w:bCs/>
          <w:kern w:val="0"/>
          <w:sz w:val="32"/>
          <w:szCs w:val="32"/>
        </w:rPr>
      </w:pPr>
      <w:r>
        <w:rPr>
          <w:rFonts w:hint="eastAsia" w:ascii="Times New Roman" w:hAnsi="Times New Roman" w:eastAsia="方正仿宋_GBK" w:cs="仿宋_GB2312"/>
          <w:bCs/>
          <w:kern w:val="0"/>
          <w:sz w:val="32"/>
          <w:szCs w:val="32"/>
        </w:rPr>
        <w:t>联系人、联系电话：胡培军、吴晨（艺术科），</w:t>
      </w:r>
      <w:r>
        <w:rPr>
          <w:rFonts w:hint="eastAsia" w:ascii="Times New Roman" w:hAnsi="Times New Roman" w:eastAsia="方正仿宋_GBK"/>
          <w:sz w:val="32"/>
          <w:szCs w:val="32"/>
        </w:rPr>
        <w:t>83665573、83665587；姚耀、卜一清（</w:t>
      </w:r>
      <w:r>
        <w:rPr>
          <w:rFonts w:hint="eastAsia" w:ascii="Times New Roman" w:hAnsi="Times New Roman" w:eastAsia="方正仿宋_GBK"/>
          <w:sz w:val="32"/>
          <w:szCs w:val="32"/>
          <w:lang w:eastAsia="zh-CN"/>
        </w:rPr>
        <w:t>文物保护科</w:t>
      </w:r>
      <w:r>
        <w:rPr>
          <w:rFonts w:hint="eastAsia" w:ascii="Times New Roman" w:hAnsi="Times New Roman" w:eastAsia="方正仿宋_GBK"/>
          <w:sz w:val="32"/>
          <w:szCs w:val="32"/>
        </w:rPr>
        <w:t>），83666067、83665269。</w:t>
      </w:r>
    </w:p>
    <w:p w14:paraId="48354448">
      <w:pPr>
        <w:spacing w:line="600" w:lineRule="exact"/>
        <w:ind w:firstLine="640" w:firstLineChars="200"/>
        <w:jc w:val="left"/>
        <w:rPr>
          <w:rFonts w:hint="eastAsia" w:ascii="Times New Roman" w:hAnsi="Times New Roman" w:eastAsia="方正仿宋_GBK" w:cs="仿宋_GB2312"/>
          <w:bCs/>
          <w:kern w:val="0"/>
          <w:sz w:val="32"/>
          <w:szCs w:val="32"/>
        </w:rPr>
      </w:pPr>
      <w:r>
        <w:rPr>
          <w:rFonts w:hint="eastAsia" w:ascii="Times New Roman" w:hAnsi="Times New Roman" w:eastAsia="方正仿宋_GBK" w:cs="仿宋_GB2312"/>
          <w:bCs/>
          <w:kern w:val="0"/>
          <w:sz w:val="32"/>
          <w:szCs w:val="32"/>
        </w:rPr>
        <w:t>联系地址：淮安市清江浦区健康西路</w:t>
      </w:r>
      <w:r>
        <w:rPr>
          <w:rFonts w:hint="eastAsia" w:ascii="Times New Roman" w:hAnsi="Times New Roman" w:eastAsia="方正仿宋_GBK"/>
          <w:sz w:val="32"/>
          <w:szCs w:val="32"/>
        </w:rPr>
        <w:t>130</w:t>
      </w:r>
      <w:r>
        <w:rPr>
          <w:rFonts w:hint="eastAsia" w:ascii="Times New Roman" w:hAnsi="Times New Roman" w:eastAsia="方正仿宋_GBK" w:cs="仿宋_GB2312"/>
          <w:bCs/>
          <w:kern w:val="0"/>
          <w:sz w:val="32"/>
          <w:szCs w:val="32"/>
        </w:rPr>
        <w:t>号，淮安市文化广电和旅游局。</w:t>
      </w:r>
    </w:p>
    <w:p w14:paraId="0CBEFDB6">
      <w:pPr>
        <w:pStyle w:val="2"/>
        <w:tabs>
          <w:tab w:val="left" w:pos="1440"/>
        </w:tabs>
        <w:spacing w:line="560" w:lineRule="exact"/>
        <w:ind w:left="0" w:leftChars="0" w:firstLine="640" w:firstLineChars="200"/>
        <w:rPr>
          <w:rFonts w:hint="eastAsia" w:ascii="Times New Roman" w:hAnsi="Times New Roman" w:eastAsia="方正仿宋_GBK" w:cs="仿宋_GB2312"/>
          <w:sz w:val="32"/>
        </w:rPr>
      </w:pPr>
    </w:p>
    <w:p w14:paraId="04FD7E21">
      <w:pPr>
        <w:rPr>
          <w:rFonts w:hint="eastAsia" w:ascii="Times New Roman" w:hAnsi="Times New Roman" w:eastAsia="方正仿宋_GBK"/>
          <w:sz w:val="32"/>
        </w:rPr>
      </w:pPr>
    </w:p>
    <w:p w14:paraId="136D3D65">
      <w:pPr>
        <w:rPr>
          <w:rFonts w:hint="eastAsia" w:ascii="Times New Roman" w:hAnsi="Times New Roman" w:eastAsia="方正仿宋_GBK"/>
          <w:sz w:val="32"/>
        </w:rPr>
      </w:pPr>
    </w:p>
    <w:p w14:paraId="45677BE8">
      <w:pPr>
        <w:spacing w:line="560" w:lineRule="exact"/>
        <w:ind w:left="1590" w:leftChars="300" w:hanging="960" w:hangingChars="300"/>
        <w:rPr>
          <w:rFonts w:hint="eastAsia" w:ascii="Times New Roman" w:hAnsi="Times New Roman" w:eastAsia="方正仿宋_GBK" w:cs="仿宋_GB2312"/>
          <w:bCs/>
          <w:kern w:val="0"/>
          <w:sz w:val="32"/>
          <w:szCs w:val="32"/>
        </w:rPr>
      </w:pPr>
      <w:r>
        <w:rPr>
          <w:rFonts w:hint="eastAsia" w:ascii="Times New Roman" w:hAnsi="Times New Roman" w:eastAsia="方正仿宋_GBK" w:cs="仿宋_GB2312"/>
          <w:sz w:val="32"/>
        </w:rPr>
        <w:t>附件：1.</w:t>
      </w:r>
      <w:r>
        <w:rPr>
          <w:rFonts w:hint="eastAsia" w:ascii="Times New Roman" w:hAnsi="Times New Roman" w:eastAsia="方正仿宋_GBK"/>
          <w:sz w:val="32"/>
          <w:szCs w:val="32"/>
        </w:rPr>
        <w:t>2026</w:t>
      </w:r>
      <w:r>
        <w:rPr>
          <w:rFonts w:hint="eastAsia" w:ascii="Times New Roman" w:hAnsi="Times New Roman" w:eastAsia="方正仿宋_GBK" w:cs="仿宋_GB2312"/>
          <w:bCs/>
          <w:kern w:val="0"/>
          <w:sz w:val="32"/>
          <w:szCs w:val="32"/>
        </w:rPr>
        <w:t>年度淮安市“双名”工程奖励类项目免申直</w:t>
      </w:r>
      <w:r>
        <w:rPr>
          <w:rFonts w:ascii="Times New Roman" w:hAnsi="Times New Roman" w:eastAsia="方正仿宋_GBK" w:cs="仿宋_GB2312"/>
          <w:bCs/>
          <w:kern w:val="0"/>
          <w:sz w:val="32"/>
          <w:szCs w:val="32"/>
        </w:rPr>
        <w:br w:type="textWrapping"/>
      </w:r>
      <w:r>
        <w:rPr>
          <w:rFonts w:hint="eastAsia" w:ascii="Times New Roman" w:hAnsi="Times New Roman" w:eastAsia="方正仿宋_GBK" w:cs="仿宋_GB2312"/>
          <w:bCs/>
          <w:kern w:val="0"/>
          <w:sz w:val="32"/>
          <w:szCs w:val="32"/>
        </w:rPr>
        <w:t>补方案</w:t>
      </w:r>
    </w:p>
    <w:p w14:paraId="29C046B2">
      <w:pPr>
        <w:pStyle w:val="6"/>
        <w:widowControl w:val="0"/>
        <w:shd w:val="clear" w:color="auto" w:fill="FFFFFF"/>
        <w:spacing w:before="0" w:beforeAutospacing="0" w:after="0" w:afterAutospacing="0" w:line="640" w:lineRule="exact"/>
        <w:ind w:left="1600" w:hanging="1600" w:hangingChars="500"/>
        <w:textAlignment w:val="top"/>
        <w:rPr>
          <w:rFonts w:hint="eastAsia" w:ascii="Times New Roman" w:hAnsi="Times New Roman" w:eastAsia="方正仿宋_GBK" w:cs="Times New Roman"/>
          <w:kern w:val="2"/>
          <w:sz w:val="32"/>
          <w:szCs w:val="32"/>
        </w:rPr>
      </w:pPr>
      <w:r>
        <w:rPr>
          <w:rFonts w:hint="eastAsia" w:ascii="Times New Roman" w:hAnsi="Times New Roman" w:eastAsia="方正仿宋_GBK"/>
          <w:sz w:val="32"/>
        </w:rPr>
        <w:t xml:space="preserve"> </w:t>
      </w:r>
      <w:r>
        <w:rPr>
          <w:rFonts w:hint="eastAsia" w:ascii="Times New Roman" w:hAnsi="Times New Roman" w:eastAsia="方正仿宋_GBK"/>
          <w:sz w:val="32"/>
          <w:szCs w:val="32"/>
        </w:rPr>
        <w:t xml:space="preserve">         2. 2026年度</w:t>
      </w:r>
      <w:r>
        <w:rPr>
          <w:rFonts w:hint="eastAsia" w:ascii="Times New Roman" w:hAnsi="Times New Roman" w:eastAsia="方正仿宋_GBK" w:cs="Times New Roman"/>
          <w:kern w:val="2"/>
          <w:sz w:val="32"/>
          <w:szCs w:val="32"/>
        </w:rPr>
        <w:t>淮安市“双名”工程奖励类项目信息表</w:t>
      </w:r>
      <w:r>
        <w:rPr>
          <w:rFonts w:ascii="Times New Roman" w:hAnsi="Times New Roman" w:eastAsia="方正仿宋_GBK" w:cs="Times New Roman"/>
          <w:kern w:val="2"/>
          <w:sz w:val="32"/>
          <w:szCs w:val="32"/>
        </w:rPr>
        <w:br w:type="textWrapping"/>
      </w:r>
      <w:r>
        <w:rPr>
          <w:rFonts w:hint="eastAsia" w:ascii="Times New Roman" w:hAnsi="Times New Roman" w:eastAsia="方正仿宋_GBK" w:cs="Times New Roman"/>
          <w:kern w:val="2"/>
          <w:sz w:val="32"/>
          <w:szCs w:val="32"/>
        </w:rPr>
        <w:t>（个人）</w:t>
      </w:r>
    </w:p>
    <w:p w14:paraId="54434107">
      <w:pPr>
        <w:pStyle w:val="6"/>
        <w:widowControl w:val="0"/>
        <w:shd w:val="clear" w:color="auto" w:fill="FFFFFF"/>
        <w:spacing w:before="0" w:beforeAutospacing="0" w:after="0" w:afterAutospacing="0" w:line="640" w:lineRule="exact"/>
        <w:ind w:left="1600" w:hanging="1600" w:hangingChars="500"/>
        <w:textAlignment w:val="top"/>
        <w:rPr>
          <w:rFonts w:hint="eastAsia" w:ascii="Times New Roman" w:hAnsi="Times New Roman" w:eastAsia="方正仿宋_GBK" w:cs="仿宋_GB2312"/>
          <w:kern w:val="2"/>
          <w:sz w:val="32"/>
        </w:rPr>
      </w:pPr>
      <w:r>
        <w:rPr>
          <w:rFonts w:hint="eastAsia" w:ascii="Times New Roman" w:hAnsi="Times New Roman" w:eastAsia="方正仿宋_GBK" w:cs="仿宋_GB2312"/>
          <w:kern w:val="2"/>
          <w:sz w:val="32"/>
        </w:rPr>
        <w:t xml:space="preserve">          3. 2026年度淮安市“双名”工程奖励类项目信息表</w:t>
      </w:r>
      <w:r>
        <w:rPr>
          <w:rFonts w:ascii="Times New Roman" w:hAnsi="Times New Roman" w:eastAsia="方正仿宋_GBK" w:cs="仿宋_GB2312"/>
          <w:kern w:val="2"/>
          <w:sz w:val="32"/>
        </w:rPr>
        <w:br w:type="textWrapping"/>
      </w:r>
      <w:r>
        <w:rPr>
          <w:rFonts w:hint="eastAsia" w:ascii="Times New Roman" w:hAnsi="Times New Roman" w:eastAsia="方正仿宋_GBK" w:cs="仿宋_GB2312"/>
          <w:kern w:val="2"/>
          <w:sz w:val="32"/>
        </w:rPr>
        <w:t>（单位）</w:t>
      </w:r>
      <w:bookmarkStart w:id="8" w:name="_GoBack"/>
      <w:bookmarkEnd w:id="8"/>
    </w:p>
    <w:p w14:paraId="085BF8AF">
      <w:pPr>
        <w:pStyle w:val="6"/>
        <w:widowControl w:val="0"/>
        <w:shd w:val="clear" w:color="auto" w:fill="FFFFFF"/>
        <w:spacing w:before="0" w:beforeAutospacing="0" w:after="0" w:afterAutospacing="0" w:line="640" w:lineRule="exact"/>
        <w:textAlignment w:val="top"/>
        <w:rPr>
          <w:rFonts w:hint="eastAsia" w:ascii="Times New Roman" w:hAnsi="Times New Roman" w:eastAsia="方正仿宋_GBK" w:cs="Times New Roman"/>
          <w:kern w:val="2"/>
          <w:sz w:val="32"/>
          <w:szCs w:val="32"/>
        </w:rPr>
      </w:pPr>
    </w:p>
    <w:p w14:paraId="580982BD">
      <w:pPr>
        <w:spacing w:line="560" w:lineRule="exact"/>
        <w:ind w:firstLine="1600" w:firstLineChars="500"/>
        <w:rPr>
          <w:rFonts w:ascii="Times New Roman" w:hAnsi="Times New Roman" w:eastAsia="方正仿宋_GBK"/>
          <w:sz w:val="32"/>
        </w:rPr>
      </w:pPr>
    </w:p>
    <w:p w14:paraId="1799A9B7">
      <w:pPr>
        <w:pStyle w:val="7"/>
        <w:spacing w:line="560" w:lineRule="exact"/>
        <w:ind w:left="420"/>
        <w:rPr>
          <w:rFonts w:ascii="Times New Roman" w:hAnsi="Times New Roman" w:eastAsia="方正仿宋_GBK"/>
          <w:sz w:val="32"/>
        </w:rPr>
      </w:pPr>
    </w:p>
    <w:p w14:paraId="0B85437D">
      <w:pPr>
        <w:spacing w:line="560" w:lineRule="exact"/>
        <w:ind w:firstLine="4480" w:firstLineChars="1400"/>
        <w:rPr>
          <w:rFonts w:hint="eastAsia" w:ascii="Times New Roman" w:hAnsi="Times New Roman" w:eastAsia="方正仿宋_GBK" w:cs="仿宋_GB2312"/>
          <w:sz w:val="32"/>
        </w:rPr>
      </w:pPr>
      <w:r>
        <w:rPr>
          <w:rFonts w:hint="eastAsia" w:ascii="Times New Roman" w:hAnsi="Times New Roman" w:eastAsia="方正仿宋_GBK" w:cs="仿宋_GB2312"/>
          <w:sz w:val="32"/>
        </w:rPr>
        <w:t>淮安市文化广电和旅游局</w:t>
      </w:r>
    </w:p>
    <w:p w14:paraId="455F39F0">
      <w:pPr>
        <w:spacing w:line="560" w:lineRule="exact"/>
        <w:ind w:firstLine="5120" w:firstLineChars="1600"/>
        <w:rPr>
          <w:rFonts w:hint="eastAsia" w:ascii="Times New Roman" w:hAnsi="Times New Roman" w:eastAsia="方正仿宋_GBK"/>
          <w:sz w:val="32"/>
        </w:rPr>
      </w:pPr>
      <w:r>
        <w:rPr>
          <w:rFonts w:ascii="Times New Roman" w:hAnsi="Times New Roman" w:eastAsia="方正仿宋_GBK"/>
          <w:sz w:val="32"/>
        </w:rPr>
        <w:t>202</w:t>
      </w:r>
      <w:r>
        <w:rPr>
          <w:rFonts w:hint="eastAsia" w:ascii="Times New Roman" w:hAnsi="Times New Roman" w:eastAsia="方正仿宋_GBK"/>
          <w:sz w:val="32"/>
        </w:rPr>
        <w:t>6</w:t>
      </w:r>
      <w:r>
        <w:rPr>
          <w:rFonts w:hint="eastAsia" w:ascii="Times New Roman" w:hAnsi="Times New Roman" w:eastAsia="方正仿宋_GBK" w:cs="仿宋_GB2312"/>
          <w:sz w:val="32"/>
        </w:rPr>
        <w:t>年</w:t>
      </w:r>
      <w:r>
        <w:rPr>
          <w:rFonts w:hint="eastAsia" w:ascii="Times New Roman" w:hAnsi="Times New Roman" w:eastAsia="方正仿宋_GBK"/>
          <w:sz w:val="32"/>
        </w:rPr>
        <w:t>9</w:t>
      </w:r>
      <w:r>
        <w:rPr>
          <w:rFonts w:hint="eastAsia" w:ascii="Times New Roman" w:hAnsi="Times New Roman" w:eastAsia="方正仿宋_GBK" w:cs="仿宋_GB2312"/>
          <w:sz w:val="32"/>
        </w:rPr>
        <w:t>月</w:t>
      </w:r>
      <w:r>
        <w:rPr>
          <w:rFonts w:hint="eastAsia" w:ascii="Times New Roman" w:hAnsi="Times New Roman" w:eastAsia="方正仿宋_GBK"/>
          <w:sz w:val="32"/>
        </w:rPr>
        <w:t>11</w:t>
      </w:r>
      <w:r>
        <w:rPr>
          <w:rFonts w:hint="eastAsia" w:ascii="Times New Roman" w:hAnsi="Times New Roman" w:eastAsia="方正仿宋_GBK" w:cs="仿宋_GB2312"/>
          <w:sz w:val="32"/>
        </w:rPr>
        <w:t>日</w:t>
      </w:r>
    </w:p>
    <w:p w14:paraId="485E3306">
      <w:pPr>
        <w:spacing w:line="3000" w:lineRule="exact"/>
        <w:rPr>
          <w:rFonts w:ascii="Times New Roman" w:hAnsi="Times New Roman" w:eastAsia="仿宋_GB2312"/>
          <w:sz w:val="32"/>
          <w:szCs w:val="32"/>
        </w:rPr>
        <w:sectPr>
          <w:footerReference r:id="rId3" w:type="default"/>
          <w:pgSz w:w="11906" w:h="16838"/>
          <w:pgMar w:top="2041" w:right="1531" w:bottom="2041" w:left="1531" w:header="851" w:footer="992" w:gutter="0"/>
          <w:cols w:space="720" w:num="1"/>
          <w:docGrid w:type="lines" w:linePitch="312" w:charSpace="0"/>
        </w:sectPr>
      </w:pPr>
    </w:p>
    <w:p w14:paraId="59A3D2BF">
      <w:pPr>
        <w:spacing w:line="560" w:lineRule="exact"/>
        <w:jc w:val="left"/>
        <w:rPr>
          <w:rFonts w:ascii="黑体" w:hAnsi="黑体" w:eastAsia="黑体"/>
          <w:sz w:val="32"/>
          <w:szCs w:val="32"/>
        </w:rPr>
      </w:pPr>
      <w:r>
        <w:rPr>
          <w:rFonts w:hint="eastAsia" w:ascii="黑体" w:hAnsi="黑体" w:eastAsia="黑体"/>
          <w:sz w:val="32"/>
          <w:szCs w:val="32"/>
        </w:rPr>
        <w:t>附件1</w:t>
      </w:r>
    </w:p>
    <w:p w14:paraId="3D8AC952">
      <w:pPr>
        <w:spacing w:line="560" w:lineRule="exact"/>
        <w:jc w:val="center"/>
        <w:rPr>
          <w:rFonts w:hint="eastAsia" w:ascii="方正小标宋_GBK" w:eastAsia="方正小标宋_GBK"/>
          <w:sz w:val="44"/>
          <w:szCs w:val="44"/>
        </w:rPr>
      </w:pPr>
    </w:p>
    <w:p w14:paraId="43E9E229">
      <w:pPr>
        <w:spacing w:line="560" w:lineRule="exact"/>
        <w:jc w:val="center"/>
        <w:rPr>
          <w:rFonts w:hint="eastAsia" w:ascii="方正小标宋_GBK" w:eastAsia="方正小标宋_GBK"/>
          <w:sz w:val="44"/>
          <w:szCs w:val="44"/>
        </w:rPr>
      </w:pPr>
      <w:r>
        <w:rPr>
          <w:rFonts w:hint="eastAsia" w:ascii="方正小标宋_GBK" w:eastAsia="方正小标宋_GBK"/>
          <w:sz w:val="44"/>
          <w:szCs w:val="44"/>
        </w:rPr>
        <w:t>2026年度淮安市“双名”工程</w:t>
      </w:r>
    </w:p>
    <w:p w14:paraId="76C126BC">
      <w:pPr>
        <w:spacing w:line="560" w:lineRule="exact"/>
        <w:jc w:val="center"/>
        <w:rPr>
          <w:rFonts w:hint="eastAsia" w:ascii="方正小标宋_GBK" w:eastAsia="方正小标宋_GBK"/>
          <w:sz w:val="44"/>
          <w:szCs w:val="44"/>
        </w:rPr>
      </w:pPr>
      <w:r>
        <w:rPr>
          <w:rFonts w:hint="eastAsia" w:ascii="方正小标宋_GBK" w:eastAsia="方正小标宋_GBK"/>
          <w:sz w:val="44"/>
          <w:szCs w:val="44"/>
        </w:rPr>
        <w:t>奖励类项目免申直补方案</w:t>
      </w:r>
    </w:p>
    <w:p w14:paraId="28881340">
      <w:pPr>
        <w:spacing w:line="560" w:lineRule="exact"/>
        <w:ind w:firstLine="640" w:firstLineChars="200"/>
        <w:rPr>
          <w:rFonts w:hint="eastAsia" w:ascii="仿宋_GB2312" w:eastAsia="仿宋_GB2312"/>
          <w:sz w:val="32"/>
          <w:szCs w:val="32"/>
        </w:rPr>
      </w:pPr>
    </w:p>
    <w:p w14:paraId="5E6A04C9">
      <w:pPr>
        <w:spacing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为繁荣淮安文艺事业，推动文化事业高质量发展，根据《淮安市培养文艺名家打造精品名作工程实施意见》(淮文旅发〔2024〕72号)、《淮安市深化财政奖补集成服务改革完善财政奖补资金直达企业机制实施方案》（淮协调办发〔2021〕32号）等文件精神，自2016年起，由市文化广电和旅游局牵头落实，制定市“双名”工程相关实施办法，出台申报指南，组织对名家名作进行奖励扶持。现制定《2026年度淮安市“双名”工程奖励类项目免申直补方案》，具体如下：</w:t>
      </w:r>
    </w:p>
    <w:p w14:paraId="2C253B01">
      <w:pPr>
        <w:spacing w:line="560" w:lineRule="exact"/>
        <w:ind w:firstLine="640" w:firstLineChars="200"/>
        <w:rPr>
          <w:rFonts w:hint="eastAsia" w:ascii="黑体" w:hAnsi="黑体" w:eastAsia="黑体"/>
          <w:sz w:val="32"/>
          <w:szCs w:val="32"/>
        </w:rPr>
      </w:pPr>
      <w:r>
        <w:rPr>
          <w:rFonts w:hint="eastAsia" w:ascii="黑体" w:hAnsi="黑体" w:eastAsia="黑体"/>
          <w:sz w:val="32"/>
          <w:szCs w:val="32"/>
        </w:rPr>
        <w:t>一、奖补对象</w:t>
      </w:r>
    </w:p>
    <w:p w14:paraId="4FC56F63">
      <w:pPr>
        <w:spacing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淮安本地文艺工作者，或以淮安市名义申报作品的外地文艺工作者，淮安市市级考古发掘项目负责人（国家文物局认定），淮安市范围内从事文化艺术创作生产的机构，从2025年9月12日至本方案发布日止，在国家级、省级（本省）宣传部门、文化主管部门及文联等机构主办的重大赛事、专业展览中获得奖项的均可参与。在民间组织举办的赛事中获得奖项的，不在此办法奖励范围内。</w:t>
      </w:r>
    </w:p>
    <w:p w14:paraId="116C223C">
      <w:pPr>
        <w:spacing w:line="560" w:lineRule="exact"/>
        <w:ind w:firstLine="640" w:firstLineChars="200"/>
        <w:rPr>
          <w:rFonts w:hint="eastAsia" w:ascii="黑体" w:hAnsi="黑体" w:eastAsia="黑体"/>
          <w:sz w:val="32"/>
          <w:szCs w:val="32"/>
        </w:rPr>
      </w:pPr>
      <w:r>
        <w:rPr>
          <w:rFonts w:hint="eastAsia" w:ascii="黑体" w:hAnsi="黑体" w:eastAsia="黑体"/>
          <w:sz w:val="32"/>
          <w:szCs w:val="32"/>
        </w:rPr>
        <w:t>二、奖补程序</w:t>
      </w:r>
    </w:p>
    <w:p w14:paraId="309997C7">
      <w:pPr>
        <w:spacing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获奖主体于2026年9月30日前，根据方案要求向市文广旅游局艺术科、文物</w:t>
      </w:r>
      <w:r>
        <w:rPr>
          <w:rFonts w:hint="eastAsia" w:ascii="方正仿宋_GBK" w:eastAsia="方正仿宋_GBK"/>
          <w:sz w:val="32"/>
          <w:szCs w:val="32"/>
          <w:lang w:val="en-US" w:eastAsia="zh-CN"/>
        </w:rPr>
        <w:t>保护</w:t>
      </w:r>
      <w:r>
        <w:rPr>
          <w:rFonts w:hint="eastAsia" w:ascii="方正仿宋_GBK" w:eastAsia="方正仿宋_GBK"/>
          <w:sz w:val="32"/>
          <w:szCs w:val="32"/>
        </w:rPr>
        <w:t>科提交相关材料，由牵头科室整理汇总相关信息，确认奖补资金金额，向市委人才办、市财政局报备，并联合发文下达相关资金（同一主体当年度在本方案覆盖范围内取得多个奖项的，仅按最高奖项标准予以奖励，不重复奖励；同一项目已获本市其他市级同类财政奖励的，不再重复奖励）。</w:t>
      </w:r>
    </w:p>
    <w:p w14:paraId="39D5D232">
      <w:pPr>
        <w:spacing w:line="560" w:lineRule="exact"/>
        <w:ind w:firstLine="640" w:firstLineChars="200"/>
        <w:rPr>
          <w:rFonts w:hint="eastAsia" w:ascii="黑体" w:hAnsi="黑体" w:eastAsia="黑体"/>
          <w:sz w:val="32"/>
          <w:szCs w:val="32"/>
        </w:rPr>
      </w:pPr>
      <w:r>
        <w:rPr>
          <w:rFonts w:hint="eastAsia" w:ascii="黑体" w:hAnsi="黑体" w:eastAsia="黑体"/>
          <w:sz w:val="32"/>
          <w:szCs w:val="32"/>
        </w:rPr>
        <w:t>三、具体奖项及奖励金额</w:t>
      </w:r>
    </w:p>
    <w:p w14:paraId="1989DA54">
      <w:pPr>
        <w:spacing w:line="560" w:lineRule="exact"/>
        <w:ind w:firstLine="640" w:firstLineChars="200"/>
        <w:rPr>
          <w:rFonts w:hint="eastAsia" w:ascii="楷体" w:hAnsi="楷体" w:eastAsia="楷体"/>
          <w:sz w:val="32"/>
          <w:szCs w:val="32"/>
        </w:rPr>
      </w:pPr>
      <w:r>
        <w:rPr>
          <w:rFonts w:hint="eastAsia" w:ascii="楷体" w:hAnsi="楷体" w:eastAsia="楷体"/>
          <w:sz w:val="32"/>
          <w:szCs w:val="32"/>
        </w:rPr>
        <w:t>（一）全国性重要文艺奖项及奖补金额</w:t>
      </w:r>
    </w:p>
    <w:p w14:paraId="6A0F4395">
      <w:pPr>
        <w:spacing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1.精神文明建设“五个一工程”优秀作品奖，电影、电视剧/片、戏剧奖励100万元，网络文艺、广播剧奖励20万元，歌曲、图书、理论文章奖励10万元。</w:t>
      </w:r>
    </w:p>
    <w:p w14:paraId="16C98597">
      <w:pPr>
        <w:spacing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2.中国文化艺术政府奖——文华奖文华剧目奖奖励50万元，文华节目奖奖励20万元，文华单项奖、文华评论奖奖励10万元；中国文化艺术政府奖——群星奖奖励10万元；中国文化艺术政府奖动漫奖奖励20万元。</w:t>
      </w:r>
    </w:p>
    <w:p w14:paraId="1979453F">
      <w:pPr>
        <w:spacing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3.中国广播电视大奖、中国电影华表奖获奖奖励50万元。</w:t>
      </w:r>
    </w:p>
    <w:p w14:paraId="5486A81E">
      <w:pPr>
        <w:spacing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4.中国戏剧奖·梅花表演奖、中国戏剧奖·曹禺剧本奖、中国音乐金钟奖、中国美术奖、中国曲艺牡丹奖、中国舞蹈荷花奖、中国民间文艺山花奖、中国摄影金像奖、中国书法兰亭奖、中国杂技金菊奖获奖奖励20万元；中国电影金鸡奖、大众电影百花奖、中国电视金鹰奖奖励50万元。</w:t>
      </w:r>
    </w:p>
    <w:p w14:paraId="2F169A26">
      <w:pPr>
        <w:spacing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5.茅盾文学奖奖励50万元，鲁迅文学奖奖励30万元，全国优秀儿童文学奖、全国少数民族文学创作“骏马奖”获奖奖励10万元。</w:t>
      </w:r>
    </w:p>
    <w:p w14:paraId="3500C46F">
      <w:pPr>
        <w:spacing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6.上海国际电影电视节“金爵奖”“白玉兰奖”获奖奖励50万元，中国吴桥国际杂技艺术节“金狮奖”、中国国际马戏节“金虎奖”及丝绸之路国际艺术节获奖文艺作品奖励10万元。</w:t>
      </w:r>
    </w:p>
    <w:p w14:paraId="2CDC9FCF">
      <w:pPr>
        <w:spacing w:line="560" w:lineRule="exact"/>
        <w:ind w:firstLine="640" w:firstLineChars="200"/>
        <w:rPr>
          <w:rFonts w:hint="eastAsia" w:ascii="楷体" w:hAnsi="楷体" w:eastAsia="楷体"/>
          <w:sz w:val="32"/>
          <w:szCs w:val="32"/>
        </w:rPr>
      </w:pPr>
      <w:r>
        <w:rPr>
          <w:rFonts w:hint="eastAsia" w:ascii="楷体" w:hAnsi="楷体" w:eastAsia="楷体"/>
          <w:sz w:val="32"/>
          <w:szCs w:val="32"/>
        </w:rPr>
        <w:t>（二）省级重要文艺奖项及奖补金额</w:t>
      </w:r>
    </w:p>
    <w:p w14:paraId="79906C55">
      <w:pPr>
        <w:spacing w:line="560" w:lineRule="exact"/>
        <w:ind w:firstLine="640" w:firstLineChars="200"/>
        <w:rPr>
          <w:rFonts w:hint="eastAsia" w:ascii="楷体" w:hAnsi="楷体" w:eastAsia="楷体"/>
          <w:sz w:val="32"/>
          <w:szCs w:val="32"/>
        </w:rPr>
      </w:pPr>
      <w:r>
        <w:rPr>
          <w:rFonts w:hint="eastAsia" w:ascii="方正仿宋_GBK" w:eastAsia="方正仿宋_GBK"/>
          <w:sz w:val="32"/>
          <w:szCs w:val="32"/>
        </w:rPr>
        <w:t>1.江苏省精神文明建设“五个一工程”优秀作品奖，电影、电视剧、电视动画片、戏剧奖励10万元，电视纪录片、广播剧奖励3万元，歌曲、图书奖励0.5万元，荣誉奖、特别奖按对应门类标准执行。</w:t>
      </w:r>
    </w:p>
    <w:p w14:paraId="11A4D877">
      <w:pPr>
        <w:spacing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2.江苏省文华十佳剧目奖奖励10万元、文华优秀剧目奖奖励5万元、文华节目奖奖励2万元、文华表演奖、文华编剧奖、文华导演/编导奖、文华舞台美术奖、文华音乐创作奖、文华美术奖、文华书法奖、文华艺术评论奖奖励1万元。</w:t>
      </w:r>
    </w:p>
    <w:p w14:paraId="4D8A3C52">
      <w:pPr>
        <w:spacing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3.江苏文艺大奖，电视奖作品类奖项奖励10万元、单项个人奖项奖励1万元；电影奖荣誉奖奖励10万元、一等奖奖励8万元、二等奖奖励5万元、三等奖奖励3万元；戏剧奖金奖</w:t>
      </w:r>
      <w:bookmarkStart w:id="0" w:name="_Hlk164154163"/>
      <w:r>
        <w:rPr>
          <w:rFonts w:hint="eastAsia" w:ascii="方正仿宋_GBK" w:eastAsia="方正仿宋_GBK"/>
          <w:sz w:val="32"/>
          <w:szCs w:val="32"/>
        </w:rPr>
        <w:t>奖励2万元、银奖奖励1万元、铜奖奖励0.5万元</w:t>
      </w:r>
      <w:bookmarkEnd w:id="0"/>
      <w:r>
        <w:rPr>
          <w:rFonts w:hint="eastAsia" w:ascii="方正仿宋_GBK" w:eastAsia="方正仿宋_GBK"/>
          <w:sz w:val="32"/>
          <w:szCs w:val="32"/>
        </w:rPr>
        <w:t>；美术奖、书法奖、摄影奖、舞蹈奖、音乐奖、曲艺奖、杂技奖、民间文艺奖、文艺评论奖等奖项，评委会大奖奖励2万元、一等奖/金奖奖励1万元、二等奖/银奖奖励0.6万元、三等奖/铜奖奖励0.3万元，本组内评奖规则未设置等级等次的门类，获奖奖励1万元。</w:t>
      </w:r>
    </w:p>
    <w:p w14:paraId="20316FC5">
      <w:pPr>
        <w:spacing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4.上海白玉兰戏剧表演艺术奖，特殊贡献奖奖励10万元，主角奖、配角奖奖励3万元，新人主角奖、新人配角奖奖励2万元。</w:t>
      </w:r>
    </w:p>
    <w:p w14:paraId="5894E903">
      <w:pPr>
        <w:spacing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5.江苏省紫金文化艺术节优秀作品奖奖励10万元，优秀表演奖奖励1万元；江苏省紫金文化艺术节小剧场单元优秀剧目奖奖励3万元，最佳编剧、最佳导演、最佳表演、最佳舞美设计奖励1万元。</w:t>
      </w:r>
    </w:p>
    <w:p w14:paraId="789A3C61">
      <w:pPr>
        <w:spacing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6.上海国际电影节、北京国际电影节、中国长春电影节获奖奖励10万元。</w:t>
      </w:r>
    </w:p>
    <w:p w14:paraId="1A90B29D">
      <w:pPr>
        <w:spacing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7.江苏省紫金山文学奖，荣誉奖奖励5万元，文学创作奖长篇（13万字以上）奖励3万元，中篇（2.5-13万字）奖励2万元，短篇（2.5万字以下）奖励1万元，文学评论奖、文学翻译奖、文学编辑奖、文学新人奖奖励1万元。</w:t>
      </w:r>
    </w:p>
    <w:p w14:paraId="4B2F1454">
      <w:pPr>
        <w:spacing w:line="560" w:lineRule="exact"/>
        <w:ind w:firstLine="640" w:firstLineChars="200"/>
        <w:rPr>
          <w:rFonts w:hint="eastAsia" w:ascii="楷体" w:hAnsi="楷体" w:eastAsia="楷体"/>
          <w:sz w:val="32"/>
          <w:szCs w:val="32"/>
        </w:rPr>
      </w:pPr>
      <w:r>
        <w:rPr>
          <w:rFonts w:hint="eastAsia" w:ascii="楷体" w:hAnsi="楷体" w:eastAsia="楷体"/>
          <w:sz w:val="32"/>
          <w:szCs w:val="32"/>
        </w:rPr>
        <w:t>（三）</w:t>
      </w:r>
      <w:bookmarkStart w:id="1" w:name="OLE_LINK1"/>
      <w:bookmarkStart w:id="2" w:name="OLE_LINK2"/>
      <w:r>
        <w:rPr>
          <w:rFonts w:hint="eastAsia" w:ascii="楷体" w:hAnsi="楷体" w:eastAsia="楷体"/>
          <w:sz w:val="32"/>
          <w:szCs w:val="32"/>
        </w:rPr>
        <w:t>紧缺人才奖励及金额</w:t>
      </w:r>
    </w:p>
    <w:bookmarkEnd w:id="1"/>
    <w:bookmarkEnd w:id="2"/>
    <w:p w14:paraId="130A6BDB">
      <w:pPr>
        <w:spacing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1. 将戏剧影视编剧纳入紧缺创作人才储备库。本地编剧创作的戏剧及影视作品获评上述全国性重要文艺奖项（仅限作品奖，不含各类单项奖）的，奖励编剧5万元；获评上述省级重要文艺奖项（仅限作品奖，不含各类单项奖）的，奖励编剧3万元。</w:t>
      </w:r>
    </w:p>
    <w:p w14:paraId="62B223C4">
      <w:pPr>
        <w:spacing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2.取得国家文物局认定的考古发掘项目负责人资质的每年奖励8万元；考古发掘项目负责人每年每负责完成1个考古项目并通过考核验收，奖励2万元，最高奖励金额不超过10万元。</w:t>
      </w:r>
    </w:p>
    <w:p w14:paraId="2D75150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eastAsia="方正仿宋_GBK"/>
          <w:sz w:val="32"/>
          <w:szCs w:val="32"/>
        </w:rPr>
      </w:pPr>
      <w:r>
        <w:rPr>
          <w:rFonts w:hint="eastAsia" w:ascii="方正仿宋_GBK" w:eastAsia="方正仿宋_GBK"/>
          <w:sz w:val="32"/>
          <w:szCs w:val="32"/>
        </w:rPr>
        <w:t>取得未列入上述奖补范围的其他重大文艺奖项的获奖对象，其奖补资格由“双名”工程领导小组研究认定。</w:t>
      </w:r>
    </w:p>
    <w:p w14:paraId="5A279719">
      <w:pPr>
        <w:spacing w:line="560" w:lineRule="exact"/>
        <w:ind w:firstLine="640" w:firstLineChars="200"/>
        <w:rPr>
          <w:rFonts w:hint="eastAsia" w:ascii="黑体" w:hAnsi="黑体" w:eastAsia="黑体"/>
          <w:sz w:val="32"/>
          <w:szCs w:val="32"/>
        </w:rPr>
      </w:pPr>
      <w:r>
        <w:rPr>
          <w:rFonts w:hint="eastAsia" w:ascii="黑体" w:hAnsi="黑体" w:eastAsia="黑体"/>
          <w:sz w:val="32"/>
          <w:szCs w:val="32"/>
        </w:rPr>
        <w:t>四、相关材料</w:t>
      </w:r>
    </w:p>
    <w:p w14:paraId="4DA10A17">
      <w:pPr>
        <w:spacing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获奖主体须向市文广旅游局艺术科、</w:t>
      </w:r>
      <w:r>
        <w:rPr>
          <w:rFonts w:hint="eastAsia" w:ascii="方正仿宋_GBK" w:eastAsia="方正仿宋_GBK"/>
          <w:sz w:val="32"/>
          <w:szCs w:val="32"/>
          <w:lang w:eastAsia="zh-CN"/>
        </w:rPr>
        <w:t>文物保护科</w:t>
      </w:r>
      <w:r>
        <w:rPr>
          <w:rFonts w:hint="eastAsia" w:ascii="方正仿宋_GBK" w:eastAsia="方正仿宋_GBK"/>
          <w:sz w:val="32"/>
          <w:szCs w:val="32"/>
        </w:rPr>
        <w:t>提供获奖证书原件（查实后带回）、</w:t>
      </w:r>
      <w:r>
        <w:rPr>
          <w:rFonts w:hint="eastAsia" w:ascii="方正仿宋_GBK" w:eastAsia="方正仿宋_GBK"/>
          <w:color w:val="000000"/>
          <w:sz w:val="32"/>
          <w:szCs w:val="32"/>
        </w:rPr>
        <w:t>复印件一份、</w:t>
      </w:r>
      <w:r>
        <w:rPr>
          <w:rFonts w:hint="eastAsia" w:ascii="方正仿宋_GBK" w:eastAsia="方正仿宋_GBK"/>
          <w:sz w:val="32"/>
          <w:szCs w:val="32"/>
        </w:rPr>
        <w:t>《项目信息表》一份。</w:t>
      </w:r>
    </w:p>
    <w:p w14:paraId="244ECCCA">
      <w:pPr>
        <w:spacing w:line="560" w:lineRule="exact"/>
        <w:rPr>
          <w:rFonts w:hint="eastAsia" w:ascii="黑体" w:hAnsi="黑体" w:eastAsia="黑体"/>
          <w:sz w:val="32"/>
          <w:szCs w:val="32"/>
        </w:rPr>
      </w:pPr>
      <w:r>
        <w:rPr>
          <w:rFonts w:hint="eastAsia" w:ascii="黑体" w:hAnsi="黑体" w:eastAsia="黑体"/>
          <w:sz w:val="32"/>
          <w:szCs w:val="32"/>
        </w:rPr>
        <w:t>附件2</w:t>
      </w:r>
    </w:p>
    <w:p w14:paraId="22136A82">
      <w:pPr>
        <w:pStyle w:val="6"/>
        <w:widowControl w:val="0"/>
        <w:shd w:val="clear" w:color="auto" w:fill="FFFFFF"/>
        <w:spacing w:before="0" w:beforeAutospacing="0" w:after="0" w:afterAutospacing="0" w:line="640" w:lineRule="exact"/>
        <w:jc w:val="center"/>
        <w:textAlignment w:val="top"/>
        <w:rPr>
          <w:rFonts w:hint="eastAsia" w:ascii="方正小标宋_GBK" w:hAnsi="方正大标宋_GBK" w:eastAsia="方正小标宋_GBK" w:cs="Times New Roman"/>
          <w:bCs/>
          <w:w w:val="90"/>
          <w:sz w:val="44"/>
          <w:szCs w:val="44"/>
        </w:rPr>
      </w:pPr>
    </w:p>
    <w:p w14:paraId="70A9D35C">
      <w:pPr>
        <w:pStyle w:val="6"/>
        <w:widowControl w:val="0"/>
        <w:shd w:val="clear" w:color="auto" w:fill="FFFFFF"/>
        <w:spacing w:before="0" w:beforeAutospacing="0" w:after="0" w:afterAutospacing="0" w:line="600" w:lineRule="exact"/>
        <w:jc w:val="center"/>
        <w:textAlignment w:val="top"/>
        <w:rPr>
          <w:rFonts w:hint="eastAsia" w:ascii="方正小标宋_GBK" w:hAnsi="方正大标宋_GBK" w:eastAsia="方正小标宋_GBK" w:cs="Times New Roman"/>
          <w:bCs/>
          <w:w w:val="90"/>
          <w:sz w:val="44"/>
          <w:szCs w:val="44"/>
        </w:rPr>
      </w:pPr>
      <w:r>
        <w:rPr>
          <w:rFonts w:hint="eastAsia" w:ascii="方正小标宋_GBK" w:hAnsi="方正大标宋_GBK" w:eastAsia="方正小标宋_GBK" w:cs="Times New Roman"/>
          <w:bCs/>
          <w:w w:val="90"/>
          <w:sz w:val="44"/>
          <w:szCs w:val="44"/>
        </w:rPr>
        <w:t>2026年度淮安市“双名”工程奖励类项目信息表</w:t>
      </w:r>
    </w:p>
    <w:p w14:paraId="608E23A1">
      <w:pPr>
        <w:pStyle w:val="6"/>
        <w:widowControl w:val="0"/>
        <w:shd w:val="clear" w:color="auto" w:fill="FFFFFF"/>
        <w:spacing w:before="0" w:beforeAutospacing="0" w:after="0" w:afterAutospacing="0" w:line="600" w:lineRule="exact"/>
        <w:jc w:val="center"/>
        <w:textAlignment w:val="top"/>
        <w:rPr>
          <w:rFonts w:hint="eastAsia" w:ascii="方正小标宋_GBK" w:hAnsi="方正大标宋_GBK" w:eastAsia="方正小标宋_GBK" w:cs="Times New Roman"/>
          <w:bCs/>
          <w:w w:val="90"/>
          <w:sz w:val="44"/>
          <w:szCs w:val="44"/>
        </w:rPr>
      </w:pPr>
      <w:r>
        <w:rPr>
          <w:rFonts w:hint="eastAsia" w:ascii="方正小标宋_GBK" w:hAnsi="方正大标宋_GBK" w:eastAsia="方正小标宋_GBK" w:cs="Times New Roman"/>
          <w:bCs/>
          <w:w w:val="90"/>
          <w:sz w:val="44"/>
          <w:szCs w:val="44"/>
        </w:rPr>
        <w:t>（个人）</w:t>
      </w:r>
    </w:p>
    <w:p w14:paraId="43D76586">
      <w:pPr>
        <w:pStyle w:val="6"/>
        <w:widowControl w:val="0"/>
        <w:shd w:val="clear" w:color="auto" w:fill="FFFFFF"/>
        <w:spacing w:before="0" w:beforeAutospacing="0" w:after="0" w:afterAutospacing="0" w:line="640" w:lineRule="exact"/>
        <w:jc w:val="center"/>
        <w:textAlignment w:val="top"/>
        <w:rPr>
          <w:rFonts w:hint="eastAsia" w:ascii="方正小标宋_GBK" w:hAnsi="方正大标宋_GBK" w:eastAsia="方正小标宋_GBK" w:cs="Times New Roman"/>
          <w:bCs/>
          <w:w w:val="90"/>
          <w:sz w:val="44"/>
          <w:szCs w:val="44"/>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8"/>
        <w:gridCol w:w="2199"/>
        <w:gridCol w:w="1641"/>
        <w:gridCol w:w="2727"/>
      </w:tblGrid>
      <w:tr w14:paraId="2BB10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2168" w:type="dxa"/>
            <w:shd w:val="clear" w:color="auto" w:fill="auto"/>
            <w:noWrap w:val="0"/>
            <w:vAlign w:val="center"/>
          </w:tcPr>
          <w:p w14:paraId="031699E3">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bookmarkStart w:id="3" w:name="OLE_LINK6"/>
            <w:bookmarkStart w:id="4" w:name="OLE_LINK5"/>
            <w:r>
              <w:rPr>
                <w:rFonts w:hint="eastAsia" w:ascii="Times New Roman" w:hAnsi="Times New Roman" w:eastAsia="仿宋_GB2312"/>
                <w:sz w:val="32"/>
                <w:szCs w:val="32"/>
              </w:rPr>
              <w:t>姓名</w:t>
            </w:r>
          </w:p>
        </w:tc>
        <w:tc>
          <w:tcPr>
            <w:tcW w:w="2199" w:type="dxa"/>
            <w:shd w:val="clear" w:color="auto" w:fill="auto"/>
            <w:noWrap w:val="0"/>
            <w:vAlign w:val="center"/>
          </w:tcPr>
          <w:p w14:paraId="5D2FBD7D">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p>
        </w:tc>
        <w:tc>
          <w:tcPr>
            <w:tcW w:w="1641" w:type="dxa"/>
            <w:shd w:val="clear" w:color="auto" w:fill="auto"/>
            <w:noWrap w:val="0"/>
            <w:vAlign w:val="center"/>
          </w:tcPr>
          <w:p w14:paraId="42D0FC0E">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r>
              <w:rPr>
                <w:rFonts w:hint="eastAsia" w:ascii="Times New Roman" w:hAnsi="Times New Roman" w:eastAsia="仿宋_GB2312"/>
                <w:sz w:val="32"/>
                <w:szCs w:val="32"/>
              </w:rPr>
              <w:t>所在单位</w:t>
            </w:r>
          </w:p>
        </w:tc>
        <w:tc>
          <w:tcPr>
            <w:tcW w:w="2727" w:type="dxa"/>
            <w:shd w:val="clear" w:color="auto" w:fill="auto"/>
            <w:noWrap w:val="0"/>
            <w:vAlign w:val="center"/>
          </w:tcPr>
          <w:p w14:paraId="6F813694">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p>
        </w:tc>
      </w:tr>
      <w:tr w14:paraId="3D0F0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2168" w:type="dxa"/>
            <w:shd w:val="clear" w:color="auto" w:fill="auto"/>
            <w:noWrap w:val="0"/>
            <w:vAlign w:val="center"/>
          </w:tcPr>
          <w:p w14:paraId="043CD35B">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r>
              <w:rPr>
                <w:rFonts w:hint="eastAsia" w:ascii="Times New Roman" w:hAnsi="Times New Roman" w:eastAsia="仿宋_GB2312"/>
                <w:sz w:val="32"/>
                <w:szCs w:val="32"/>
              </w:rPr>
              <w:t>身份证号码</w:t>
            </w:r>
          </w:p>
        </w:tc>
        <w:tc>
          <w:tcPr>
            <w:tcW w:w="2199" w:type="dxa"/>
            <w:shd w:val="clear" w:color="auto" w:fill="auto"/>
            <w:noWrap w:val="0"/>
            <w:vAlign w:val="center"/>
          </w:tcPr>
          <w:p w14:paraId="778430D5">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p>
        </w:tc>
        <w:tc>
          <w:tcPr>
            <w:tcW w:w="1641" w:type="dxa"/>
            <w:shd w:val="clear" w:color="auto" w:fill="auto"/>
            <w:noWrap w:val="0"/>
            <w:vAlign w:val="center"/>
          </w:tcPr>
          <w:p w14:paraId="12201CF8">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r>
              <w:rPr>
                <w:rFonts w:hint="eastAsia" w:ascii="Times New Roman" w:hAnsi="Times New Roman" w:eastAsia="仿宋_GB2312"/>
                <w:sz w:val="32"/>
                <w:szCs w:val="32"/>
              </w:rPr>
              <w:t>联系电话</w:t>
            </w:r>
          </w:p>
        </w:tc>
        <w:tc>
          <w:tcPr>
            <w:tcW w:w="2727" w:type="dxa"/>
            <w:shd w:val="clear" w:color="auto" w:fill="auto"/>
            <w:noWrap w:val="0"/>
            <w:vAlign w:val="center"/>
          </w:tcPr>
          <w:p w14:paraId="2201CA76">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p>
        </w:tc>
      </w:tr>
      <w:tr w14:paraId="7F34E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2168" w:type="dxa"/>
            <w:shd w:val="clear" w:color="auto" w:fill="auto"/>
            <w:noWrap w:val="0"/>
            <w:vAlign w:val="center"/>
          </w:tcPr>
          <w:p w14:paraId="41D329B3">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r>
              <w:rPr>
                <w:rFonts w:hint="eastAsia" w:ascii="Times New Roman" w:hAnsi="Times New Roman" w:eastAsia="仿宋_GB2312"/>
                <w:sz w:val="32"/>
                <w:szCs w:val="32"/>
              </w:rPr>
              <w:t>开户行</w:t>
            </w:r>
          </w:p>
        </w:tc>
        <w:tc>
          <w:tcPr>
            <w:tcW w:w="2199" w:type="dxa"/>
            <w:shd w:val="clear" w:color="auto" w:fill="auto"/>
            <w:noWrap w:val="0"/>
            <w:vAlign w:val="center"/>
          </w:tcPr>
          <w:p w14:paraId="5812DAEA">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p>
        </w:tc>
        <w:tc>
          <w:tcPr>
            <w:tcW w:w="1641" w:type="dxa"/>
            <w:shd w:val="clear" w:color="auto" w:fill="auto"/>
            <w:noWrap w:val="0"/>
            <w:vAlign w:val="center"/>
          </w:tcPr>
          <w:p w14:paraId="12F4B38F">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r>
              <w:rPr>
                <w:rFonts w:hint="eastAsia" w:ascii="Times New Roman" w:hAnsi="Times New Roman" w:eastAsia="仿宋_GB2312"/>
                <w:sz w:val="32"/>
                <w:szCs w:val="32"/>
              </w:rPr>
              <w:t>账号</w:t>
            </w:r>
          </w:p>
        </w:tc>
        <w:tc>
          <w:tcPr>
            <w:tcW w:w="2727" w:type="dxa"/>
            <w:shd w:val="clear" w:color="auto" w:fill="auto"/>
            <w:noWrap w:val="0"/>
            <w:vAlign w:val="center"/>
          </w:tcPr>
          <w:p w14:paraId="1C131BFE">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p>
        </w:tc>
      </w:tr>
      <w:tr w14:paraId="4951C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2168" w:type="dxa"/>
            <w:shd w:val="clear" w:color="auto" w:fill="auto"/>
            <w:noWrap w:val="0"/>
            <w:vAlign w:val="center"/>
          </w:tcPr>
          <w:p w14:paraId="2788BE68">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r>
              <w:rPr>
                <w:rFonts w:hint="eastAsia" w:ascii="Times New Roman" w:hAnsi="Times New Roman" w:eastAsia="仿宋_GB2312"/>
                <w:sz w:val="32"/>
                <w:szCs w:val="32"/>
              </w:rPr>
              <w:t>所在县（区）</w:t>
            </w:r>
          </w:p>
        </w:tc>
        <w:tc>
          <w:tcPr>
            <w:tcW w:w="2199" w:type="dxa"/>
            <w:shd w:val="clear" w:color="auto" w:fill="auto"/>
            <w:noWrap w:val="0"/>
            <w:vAlign w:val="center"/>
          </w:tcPr>
          <w:p w14:paraId="621D04CF">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p>
        </w:tc>
        <w:tc>
          <w:tcPr>
            <w:tcW w:w="1641" w:type="dxa"/>
            <w:shd w:val="clear" w:color="auto" w:fill="auto"/>
            <w:noWrap w:val="0"/>
            <w:vAlign w:val="center"/>
          </w:tcPr>
          <w:p w14:paraId="130B8C89">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r>
              <w:rPr>
                <w:rFonts w:hint="eastAsia" w:ascii="Times New Roman" w:hAnsi="Times New Roman" w:eastAsia="仿宋_GB2312"/>
                <w:sz w:val="32"/>
                <w:szCs w:val="32"/>
              </w:rPr>
              <w:t>奖励金额</w:t>
            </w:r>
          </w:p>
        </w:tc>
        <w:tc>
          <w:tcPr>
            <w:tcW w:w="2727" w:type="dxa"/>
            <w:shd w:val="clear" w:color="auto" w:fill="auto"/>
            <w:noWrap w:val="0"/>
            <w:vAlign w:val="center"/>
          </w:tcPr>
          <w:p w14:paraId="58361012">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p>
        </w:tc>
      </w:tr>
      <w:tr w14:paraId="7D1C2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0" w:hRule="atLeast"/>
        </w:trPr>
        <w:tc>
          <w:tcPr>
            <w:tcW w:w="2168" w:type="dxa"/>
            <w:shd w:val="clear" w:color="auto" w:fill="auto"/>
            <w:noWrap w:val="0"/>
            <w:vAlign w:val="center"/>
          </w:tcPr>
          <w:p w14:paraId="592A661E">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r>
              <w:rPr>
                <w:rFonts w:hint="eastAsia" w:ascii="Times New Roman" w:hAnsi="Times New Roman" w:eastAsia="仿宋_GB2312"/>
                <w:sz w:val="32"/>
                <w:szCs w:val="32"/>
              </w:rPr>
              <w:t>奖项主办方、获奖等级、获奖名称等说明</w:t>
            </w:r>
          </w:p>
        </w:tc>
        <w:tc>
          <w:tcPr>
            <w:tcW w:w="6567" w:type="dxa"/>
            <w:gridSpan w:val="3"/>
            <w:shd w:val="clear" w:color="auto" w:fill="auto"/>
            <w:noWrap w:val="0"/>
            <w:vAlign w:val="center"/>
          </w:tcPr>
          <w:p w14:paraId="07BBC167">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p>
        </w:tc>
      </w:tr>
      <w:tr w14:paraId="0C318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168" w:type="dxa"/>
            <w:shd w:val="clear" w:color="auto" w:fill="auto"/>
            <w:noWrap w:val="0"/>
            <w:vAlign w:val="center"/>
          </w:tcPr>
          <w:p w14:paraId="146E04D0">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r>
              <w:rPr>
                <w:rFonts w:hint="eastAsia" w:ascii="Times New Roman" w:hAnsi="Times New Roman" w:eastAsia="仿宋_GB2312"/>
                <w:sz w:val="32"/>
                <w:szCs w:val="32"/>
              </w:rPr>
              <w:t>备</w:t>
            </w:r>
            <w:r>
              <w:rPr>
                <w:rFonts w:ascii="Times New Roman" w:hAnsi="Times New Roman" w:eastAsia="仿宋_GB2312"/>
                <w:sz w:val="32"/>
                <w:szCs w:val="32"/>
              </w:rPr>
              <w:t xml:space="preserve">  </w:t>
            </w:r>
            <w:r>
              <w:rPr>
                <w:rFonts w:hint="eastAsia" w:ascii="Times New Roman" w:hAnsi="Times New Roman" w:eastAsia="仿宋_GB2312"/>
                <w:sz w:val="32"/>
                <w:szCs w:val="32"/>
              </w:rPr>
              <w:t>注</w:t>
            </w:r>
          </w:p>
        </w:tc>
        <w:tc>
          <w:tcPr>
            <w:tcW w:w="6567" w:type="dxa"/>
            <w:gridSpan w:val="3"/>
            <w:shd w:val="clear" w:color="auto" w:fill="auto"/>
            <w:noWrap w:val="0"/>
            <w:vAlign w:val="top"/>
          </w:tcPr>
          <w:p w14:paraId="563B8D32">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p>
        </w:tc>
      </w:tr>
      <w:bookmarkEnd w:id="3"/>
      <w:bookmarkEnd w:id="4"/>
    </w:tbl>
    <w:p w14:paraId="652FB521">
      <w:pPr>
        <w:jc w:val="left"/>
        <w:rPr>
          <w:rFonts w:hint="eastAsia" w:ascii="黑体" w:hAnsi="黑体" w:eastAsia="黑体"/>
          <w:bCs/>
          <w:w w:val="90"/>
          <w:kern w:val="0"/>
          <w:sz w:val="32"/>
          <w:szCs w:val="32"/>
        </w:rPr>
      </w:pPr>
    </w:p>
    <w:p w14:paraId="7EE523CC">
      <w:pPr>
        <w:spacing w:line="560" w:lineRule="exact"/>
        <w:rPr>
          <w:rFonts w:ascii="黑体" w:hAnsi="黑体" w:eastAsia="黑体"/>
          <w:sz w:val="32"/>
          <w:szCs w:val="32"/>
        </w:rPr>
      </w:pPr>
      <w:r>
        <w:rPr>
          <w:rFonts w:hint="eastAsia" w:ascii="黑体" w:hAnsi="黑体" w:eastAsia="黑体"/>
          <w:sz w:val="32"/>
          <w:szCs w:val="32"/>
        </w:rPr>
        <w:t>附件3</w:t>
      </w:r>
    </w:p>
    <w:p w14:paraId="1B5B3594">
      <w:pPr>
        <w:pStyle w:val="6"/>
        <w:widowControl w:val="0"/>
        <w:shd w:val="clear" w:color="auto" w:fill="FFFFFF"/>
        <w:spacing w:before="0" w:beforeAutospacing="0" w:after="0" w:afterAutospacing="0" w:line="640" w:lineRule="exact"/>
        <w:jc w:val="center"/>
        <w:textAlignment w:val="top"/>
        <w:rPr>
          <w:rFonts w:hint="eastAsia" w:ascii="方正小标宋_GBK" w:hAnsi="方正大标宋_GBK" w:eastAsia="方正小标宋_GBK" w:cs="Times New Roman"/>
          <w:bCs/>
          <w:w w:val="90"/>
          <w:sz w:val="44"/>
          <w:szCs w:val="44"/>
        </w:rPr>
      </w:pPr>
      <w:bookmarkStart w:id="5" w:name="_Hlk105681377"/>
    </w:p>
    <w:p w14:paraId="3D40F668">
      <w:pPr>
        <w:pStyle w:val="6"/>
        <w:widowControl w:val="0"/>
        <w:shd w:val="clear" w:color="auto" w:fill="FFFFFF"/>
        <w:spacing w:before="0" w:beforeAutospacing="0" w:after="0" w:afterAutospacing="0" w:line="600" w:lineRule="exact"/>
        <w:jc w:val="center"/>
        <w:textAlignment w:val="top"/>
        <w:rPr>
          <w:rFonts w:hint="eastAsia" w:ascii="方正小标宋_GBK" w:hAnsi="方正大标宋_GBK" w:eastAsia="方正小标宋_GBK" w:cs="Times New Roman"/>
          <w:bCs/>
          <w:w w:val="90"/>
          <w:sz w:val="44"/>
          <w:szCs w:val="44"/>
        </w:rPr>
      </w:pPr>
      <w:r>
        <w:rPr>
          <w:rFonts w:hint="eastAsia" w:ascii="方正小标宋_GBK" w:hAnsi="方正大标宋_GBK" w:eastAsia="方正小标宋_GBK" w:cs="Times New Roman"/>
          <w:bCs/>
          <w:w w:val="90"/>
          <w:sz w:val="44"/>
          <w:szCs w:val="44"/>
        </w:rPr>
        <w:t>2026年度</w:t>
      </w:r>
      <w:bookmarkStart w:id="6" w:name="OLE_LINK3"/>
      <w:bookmarkStart w:id="7" w:name="OLE_LINK4"/>
      <w:r>
        <w:rPr>
          <w:rFonts w:hint="eastAsia" w:ascii="方正小标宋_GBK" w:hAnsi="方正大标宋_GBK" w:eastAsia="方正小标宋_GBK" w:cs="Times New Roman"/>
          <w:bCs/>
          <w:w w:val="90"/>
          <w:sz w:val="44"/>
          <w:szCs w:val="44"/>
        </w:rPr>
        <w:t>淮安市“双名”工程奖励类项目信息表</w:t>
      </w:r>
    </w:p>
    <w:p w14:paraId="53B28381">
      <w:pPr>
        <w:pStyle w:val="6"/>
        <w:widowControl w:val="0"/>
        <w:shd w:val="clear" w:color="auto" w:fill="FFFFFF"/>
        <w:spacing w:before="0" w:beforeAutospacing="0" w:after="0" w:afterAutospacing="0" w:line="600" w:lineRule="exact"/>
        <w:jc w:val="center"/>
        <w:textAlignment w:val="top"/>
        <w:rPr>
          <w:rFonts w:hint="eastAsia" w:ascii="方正小标宋_GBK" w:hAnsi="方正大标宋_GBK" w:eastAsia="方正小标宋_GBK" w:cs="Times New Roman"/>
          <w:bCs/>
          <w:w w:val="90"/>
          <w:sz w:val="44"/>
          <w:szCs w:val="44"/>
        </w:rPr>
      </w:pPr>
      <w:r>
        <w:rPr>
          <w:rFonts w:hint="eastAsia" w:ascii="方正小标宋_GBK" w:hAnsi="方正大标宋_GBK" w:eastAsia="方正小标宋_GBK" w:cs="Times New Roman"/>
          <w:bCs/>
          <w:w w:val="90"/>
          <w:sz w:val="44"/>
          <w:szCs w:val="44"/>
        </w:rPr>
        <w:t>（单位）</w:t>
      </w:r>
    </w:p>
    <w:bookmarkEnd w:id="6"/>
    <w:bookmarkEnd w:id="7"/>
    <w:p w14:paraId="2AE8B27E">
      <w:pPr>
        <w:pStyle w:val="6"/>
        <w:widowControl w:val="0"/>
        <w:shd w:val="clear" w:color="auto" w:fill="FFFFFF"/>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8"/>
        <w:gridCol w:w="2199"/>
        <w:gridCol w:w="1641"/>
        <w:gridCol w:w="2727"/>
      </w:tblGrid>
      <w:tr w14:paraId="7AAE7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2168" w:type="dxa"/>
            <w:shd w:val="clear" w:color="auto" w:fill="auto"/>
            <w:noWrap w:val="0"/>
            <w:vAlign w:val="center"/>
          </w:tcPr>
          <w:p w14:paraId="4D2F5361">
            <w:pPr>
              <w:pStyle w:val="6"/>
              <w:widowControl w:val="0"/>
              <w:spacing w:before="0" w:beforeAutospacing="0" w:after="0" w:afterAutospacing="0" w:line="640" w:lineRule="exact"/>
              <w:jc w:val="center"/>
              <w:textAlignment w:val="top"/>
              <w:rPr>
                <w:rFonts w:ascii="Times New Roman" w:hAnsi="Times New Roman" w:eastAsia="仿宋_GB2312"/>
                <w:sz w:val="32"/>
                <w:szCs w:val="32"/>
              </w:rPr>
            </w:pPr>
            <w:r>
              <w:rPr>
                <w:rFonts w:hint="eastAsia" w:ascii="Times New Roman" w:hAnsi="Times New Roman" w:eastAsia="仿宋_GB2312"/>
                <w:sz w:val="32"/>
                <w:szCs w:val="32"/>
              </w:rPr>
              <w:t>单位名称</w:t>
            </w:r>
          </w:p>
        </w:tc>
        <w:tc>
          <w:tcPr>
            <w:tcW w:w="2199" w:type="dxa"/>
            <w:shd w:val="clear" w:color="auto" w:fill="auto"/>
            <w:noWrap w:val="0"/>
            <w:vAlign w:val="center"/>
          </w:tcPr>
          <w:p w14:paraId="03F5A7CF">
            <w:pPr>
              <w:pStyle w:val="6"/>
              <w:widowControl w:val="0"/>
              <w:spacing w:before="0" w:beforeAutospacing="0" w:after="0" w:afterAutospacing="0" w:line="640" w:lineRule="exact"/>
              <w:jc w:val="center"/>
              <w:textAlignment w:val="top"/>
              <w:rPr>
                <w:rFonts w:ascii="Times New Roman" w:hAnsi="Times New Roman" w:eastAsia="仿宋_GB2312"/>
                <w:sz w:val="32"/>
                <w:szCs w:val="32"/>
              </w:rPr>
            </w:pPr>
          </w:p>
        </w:tc>
        <w:tc>
          <w:tcPr>
            <w:tcW w:w="1641" w:type="dxa"/>
            <w:shd w:val="clear" w:color="auto" w:fill="auto"/>
            <w:noWrap w:val="0"/>
            <w:vAlign w:val="center"/>
          </w:tcPr>
          <w:p w14:paraId="58FA86DD">
            <w:pPr>
              <w:spacing w:line="400" w:lineRule="exact"/>
              <w:jc w:val="center"/>
              <w:rPr>
                <w:rFonts w:hint="eastAsia" w:ascii="方正仿宋_GBK" w:eastAsia="方正仿宋_GBK" w:cs="Calibri"/>
                <w:sz w:val="32"/>
                <w:szCs w:val="32"/>
              </w:rPr>
            </w:pPr>
            <w:r>
              <w:rPr>
                <w:rFonts w:hint="eastAsia" w:ascii="方正仿宋_GBK" w:eastAsia="方正仿宋_GBK" w:cs="Calibri"/>
                <w:sz w:val="32"/>
                <w:szCs w:val="32"/>
              </w:rPr>
              <w:t>统一社会信用代码</w:t>
            </w:r>
          </w:p>
        </w:tc>
        <w:tc>
          <w:tcPr>
            <w:tcW w:w="2727" w:type="dxa"/>
            <w:shd w:val="clear" w:color="auto" w:fill="auto"/>
            <w:noWrap w:val="0"/>
            <w:vAlign w:val="center"/>
          </w:tcPr>
          <w:p w14:paraId="47EC2B70">
            <w:pPr>
              <w:pStyle w:val="6"/>
              <w:widowControl w:val="0"/>
              <w:spacing w:before="0" w:beforeAutospacing="0" w:after="0" w:afterAutospacing="0" w:line="640" w:lineRule="exact"/>
              <w:jc w:val="center"/>
              <w:textAlignment w:val="top"/>
              <w:rPr>
                <w:rFonts w:ascii="Times New Roman" w:hAnsi="Times New Roman" w:eastAsia="仿宋_GB2312"/>
                <w:sz w:val="32"/>
                <w:szCs w:val="32"/>
              </w:rPr>
            </w:pPr>
          </w:p>
        </w:tc>
      </w:tr>
      <w:tr w14:paraId="2759D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2168" w:type="dxa"/>
            <w:shd w:val="clear" w:color="auto" w:fill="auto"/>
            <w:noWrap w:val="0"/>
            <w:vAlign w:val="center"/>
          </w:tcPr>
          <w:p w14:paraId="097FCD50">
            <w:pPr>
              <w:pStyle w:val="6"/>
              <w:widowControl w:val="0"/>
              <w:spacing w:before="0" w:beforeAutospacing="0" w:after="0" w:afterAutospacing="0" w:line="640" w:lineRule="exact"/>
              <w:jc w:val="center"/>
              <w:textAlignment w:val="top"/>
              <w:rPr>
                <w:rFonts w:ascii="Times New Roman" w:hAnsi="Times New Roman" w:eastAsia="仿宋_GB2312"/>
                <w:sz w:val="32"/>
                <w:szCs w:val="32"/>
              </w:rPr>
            </w:pPr>
            <w:r>
              <w:rPr>
                <w:rFonts w:hint="eastAsia" w:ascii="Times New Roman" w:hAnsi="Times New Roman" w:eastAsia="仿宋_GB2312"/>
                <w:sz w:val="32"/>
                <w:szCs w:val="32"/>
              </w:rPr>
              <w:t>法人</w:t>
            </w:r>
          </w:p>
        </w:tc>
        <w:tc>
          <w:tcPr>
            <w:tcW w:w="2199" w:type="dxa"/>
            <w:shd w:val="clear" w:color="auto" w:fill="auto"/>
            <w:noWrap w:val="0"/>
            <w:vAlign w:val="center"/>
          </w:tcPr>
          <w:p w14:paraId="40F7EA86">
            <w:pPr>
              <w:pStyle w:val="6"/>
              <w:widowControl w:val="0"/>
              <w:spacing w:before="0" w:beforeAutospacing="0" w:after="0" w:afterAutospacing="0" w:line="640" w:lineRule="exact"/>
              <w:jc w:val="center"/>
              <w:textAlignment w:val="top"/>
              <w:rPr>
                <w:rFonts w:ascii="Times New Roman" w:hAnsi="Times New Roman" w:eastAsia="仿宋_GB2312"/>
                <w:sz w:val="32"/>
                <w:szCs w:val="32"/>
              </w:rPr>
            </w:pPr>
          </w:p>
        </w:tc>
        <w:tc>
          <w:tcPr>
            <w:tcW w:w="1641" w:type="dxa"/>
            <w:shd w:val="clear" w:color="auto" w:fill="auto"/>
            <w:noWrap w:val="0"/>
            <w:vAlign w:val="center"/>
          </w:tcPr>
          <w:p w14:paraId="43A4E472">
            <w:pPr>
              <w:pStyle w:val="6"/>
              <w:widowControl w:val="0"/>
              <w:spacing w:before="0" w:beforeAutospacing="0" w:after="0" w:afterAutospacing="0" w:line="640" w:lineRule="exact"/>
              <w:jc w:val="center"/>
              <w:textAlignment w:val="top"/>
              <w:rPr>
                <w:rFonts w:ascii="Times New Roman" w:hAnsi="Times New Roman" w:eastAsia="仿宋_GB2312"/>
                <w:sz w:val="32"/>
                <w:szCs w:val="32"/>
              </w:rPr>
            </w:pPr>
            <w:r>
              <w:rPr>
                <w:rFonts w:hint="eastAsia" w:ascii="Times New Roman" w:hAnsi="Times New Roman" w:eastAsia="仿宋_GB2312"/>
                <w:sz w:val="32"/>
                <w:szCs w:val="32"/>
              </w:rPr>
              <w:t>联系电话</w:t>
            </w:r>
          </w:p>
        </w:tc>
        <w:tc>
          <w:tcPr>
            <w:tcW w:w="2727" w:type="dxa"/>
            <w:shd w:val="clear" w:color="auto" w:fill="auto"/>
            <w:noWrap w:val="0"/>
            <w:vAlign w:val="center"/>
          </w:tcPr>
          <w:p w14:paraId="2F43982D">
            <w:pPr>
              <w:pStyle w:val="6"/>
              <w:widowControl w:val="0"/>
              <w:spacing w:before="0" w:beforeAutospacing="0" w:after="0" w:afterAutospacing="0" w:line="640" w:lineRule="exact"/>
              <w:jc w:val="center"/>
              <w:textAlignment w:val="top"/>
              <w:rPr>
                <w:rFonts w:ascii="Times New Roman" w:hAnsi="Times New Roman" w:eastAsia="仿宋_GB2312"/>
                <w:sz w:val="32"/>
                <w:szCs w:val="32"/>
              </w:rPr>
            </w:pPr>
          </w:p>
        </w:tc>
      </w:tr>
      <w:tr w14:paraId="5EA18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2168" w:type="dxa"/>
            <w:shd w:val="clear" w:color="auto" w:fill="auto"/>
            <w:noWrap w:val="0"/>
            <w:vAlign w:val="center"/>
          </w:tcPr>
          <w:p w14:paraId="4DD40A94">
            <w:pPr>
              <w:pStyle w:val="6"/>
              <w:widowControl w:val="0"/>
              <w:spacing w:before="0" w:beforeAutospacing="0" w:after="0" w:afterAutospacing="0" w:line="640" w:lineRule="exact"/>
              <w:jc w:val="center"/>
              <w:textAlignment w:val="top"/>
              <w:rPr>
                <w:rFonts w:ascii="Times New Roman" w:hAnsi="Times New Roman" w:eastAsia="仿宋_GB2312"/>
                <w:sz w:val="32"/>
                <w:szCs w:val="32"/>
              </w:rPr>
            </w:pPr>
            <w:r>
              <w:rPr>
                <w:rFonts w:hint="eastAsia" w:ascii="Times New Roman" w:hAnsi="Times New Roman" w:eastAsia="仿宋_GB2312"/>
                <w:sz w:val="32"/>
                <w:szCs w:val="32"/>
              </w:rPr>
              <w:t>单位账号</w:t>
            </w:r>
          </w:p>
        </w:tc>
        <w:tc>
          <w:tcPr>
            <w:tcW w:w="2199" w:type="dxa"/>
            <w:shd w:val="clear" w:color="auto" w:fill="auto"/>
            <w:noWrap w:val="0"/>
            <w:vAlign w:val="center"/>
          </w:tcPr>
          <w:p w14:paraId="468B2D83">
            <w:pPr>
              <w:pStyle w:val="6"/>
              <w:widowControl w:val="0"/>
              <w:spacing w:before="0" w:beforeAutospacing="0" w:after="0" w:afterAutospacing="0" w:line="640" w:lineRule="exact"/>
              <w:jc w:val="center"/>
              <w:textAlignment w:val="top"/>
              <w:rPr>
                <w:rFonts w:ascii="Times New Roman" w:hAnsi="Times New Roman" w:eastAsia="仿宋_GB2312"/>
                <w:sz w:val="32"/>
                <w:szCs w:val="32"/>
              </w:rPr>
            </w:pPr>
          </w:p>
        </w:tc>
        <w:tc>
          <w:tcPr>
            <w:tcW w:w="1641" w:type="dxa"/>
            <w:shd w:val="clear" w:color="auto" w:fill="auto"/>
            <w:noWrap w:val="0"/>
            <w:vAlign w:val="center"/>
          </w:tcPr>
          <w:p w14:paraId="31FB5EA7">
            <w:pPr>
              <w:pStyle w:val="6"/>
              <w:widowControl w:val="0"/>
              <w:spacing w:before="0" w:beforeAutospacing="0" w:after="0" w:afterAutospacing="0" w:line="640" w:lineRule="exact"/>
              <w:jc w:val="center"/>
              <w:textAlignment w:val="top"/>
              <w:rPr>
                <w:rFonts w:ascii="Times New Roman" w:hAnsi="Times New Roman" w:eastAsia="仿宋_GB2312"/>
                <w:sz w:val="32"/>
                <w:szCs w:val="32"/>
              </w:rPr>
            </w:pPr>
            <w:r>
              <w:rPr>
                <w:rFonts w:hint="eastAsia" w:ascii="Times New Roman" w:hAnsi="Times New Roman" w:eastAsia="仿宋_GB2312"/>
                <w:sz w:val="32"/>
                <w:szCs w:val="32"/>
              </w:rPr>
              <w:t>开户行</w:t>
            </w:r>
          </w:p>
        </w:tc>
        <w:tc>
          <w:tcPr>
            <w:tcW w:w="2727" w:type="dxa"/>
            <w:shd w:val="clear" w:color="auto" w:fill="auto"/>
            <w:noWrap w:val="0"/>
            <w:vAlign w:val="center"/>
          </w:tcPr>
          <w:p w14:paraId="40BF91AC">
            <w:pPr>
              <w:pStyle w:val="6"/>
              <w:widowControl w:val="0"/>
              <w:spacing w:before="0" w:beforeAutospacing="0" w:after="0" w:afterAutospacing="0" w:line="640" w:lineRule="exact"/>
              <w:jc w:val="center"/>
              <w:textAlignment w:val="top"/>
              <w:rPr>
                <w:rFonts w:ascii="Times New Roman" w:hAnsi="Times New Roman" w:eastAsia="仿宋_GB2312"/>
                <w:sz w:val="32"/>
                <w:szCs w:val="32"/>
              </w:rPr>
            </w:pPr>
          </w:p>
        </w:tc>
      </w:tr>
      <w:tr w14:paraId="5E5BC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2168" w:type="dxa"/>
            <w:shd w:val="clear" w:color="auto" w:fill="auto"/>
            <w:noWrap w:val="0"/>
            <w:vAlign w:val="center"/>
          </w:tcPr>
          <w:p w14:paraId="3EF0A827">
            <w:pPr>
              <w:pStyle w:val="6"/>
              <w:widowControl w:val="0"/>
              <w:spacing w:before="0" w:beforeAutospacing="0" w:after="0" w:afterAutospacing="0" w:line="640" w:lineRule="exact"/>
              <w:jc w:val="center"/>
              <w:textAlignment w:val="top"/>
              <w:rPr>
                <w:rFonts w:ascii="Times New Roman" w:hAnsi="Times New Roman" w:eastAsia="仿宋_GB2312"/>
                <w:sz w:val="32"/>
                <w:szCs w:val="32"/>
              </w:rPr>
            </w:pPr>
            <w:r>
              <w:rPr>
                <w:rFonts w:hint="eastAsia" w:ascii="Times New Roman" w:hAnsi="Times New Roman" w:eastAsia="仿宋_GB2312"/>
                <w:sz w:val="32"/>
                <w:szCs w:val="32"/>
              </w:rPr>
              <w:t>所在县（区）</w:t>
            </w:r>
          </w:p>
        </w:tc>
        <w:tc>
          <w:tcPr>
            <w:tcW w:w="2199" w:type="dxa"/>
            <w:shd w:val="clear" w:color="auto" w:fill="auto"/>
            <w:noWrap w:val="0"/>
            <w:vAlign w:val="center"/>
          </w:tcPr>
          <w:p w14:paraId="32179291">
            <w:pPr>
              <w:pStyle w:val="6"/>
              <w:widowControl w:val="0"/>
              <w:spacing w:before="0" w:beforeAutospacing="0" w:after="0" w:afterAutospacing="0" w:line="640" w:lineRule="exact"/>
              <w:jc w:val="center"/>
              <w:textAlignment w:val="top"/>
              <w:rPr>
                <w:rFonts w:ascii="Times New Roman" w:hAnsi="Times New Roman" w:eastAsia="仿宋_GB2312"/>
                <w:sz w:val="32"/>
                <w:szCs w:val="32"/>
              </w:rPr>
            </w:pPr>
          </w:p>
        </w:tc>
        <w:tc>
          <w:tcPr>
            <w:tcW w:w="1641" w:type="dxa"/>
            <w:shd w:val="clear" w:color="auto" w:fill="auto"/>
            <w:noWrap w:val="0"/>
            <w:vAlign w:val="center"/>
          </w:tcPr>
          <w:p w14:paraId="7215232D">
            <w:pPr>
              <w:pStyle w:val="6"/>
              <w:widowControl w:val="0"/>
              <w:spacing w:before="0" w:beforeAutospacing="0" w:after="0" w:afterAutospacing="0" w:line="640" w:lineRule="exact"/>
              <w:jc w:val="center"/>
              <w:textAlignment w:val="top"/>
              <w:rPr>
                <w:rFonts w:ascii="Times New Roman" w:hAnsi="Times New Roman" w:eastAsia="仿宋_GB2312"/>
                <w:sz w:val="32"/>
                <w:szCs w:val="32"/>
              </w:rPr>
            </w:pPr>
            <w:r>
              <w:rPr>
                <w:rFonts w:hint="eastAsia" w:ascii="Times New Roman" w:hAnsi="Times New Roman" w:eastAsia="仿宋_GB2312"/>
                <w:sz w:val="32"/>
                <w:szCs w:val="32"/>
              </w:rPr>
              <w:t>奖励金额</w:t>
            </w:r>
          </w:p>
        </w:tc>
        <w:tc>
          <w:tcPr>
            <w:tcW w:w="2727" w:type="dxa"/>
            <w:shd w:val="clear" w:color="auto" w:fill="auto"/>
            <w:noWrap w:val="0"/>
            <w:vAlign w:val="center"/>
          </w:tcPr>
          <w:p w14:paraId="2040AC54">
            <w:pPr>
              <w:pStyle w:val="6"/>
              <w:widowControl w:val="0"/>
              <w:spacing w:before="0" w:beforeAutospacing="0" w:after="0" w:afterAutospacing="0" w:line="640" w:lineRule="exact"/>
              <w:jc w:val="center"/>
              <w:textAlignment w:val="top"/>
              <w:rPr>
                <w:rFonts w:ascii="Times New Roman" w:hAnsi="Times New Roman" w:eastAsia="仿宋_GB2312"/>
                <w:sz w:val="32"/>
                <w:szCs w:val="32"/>
              </w:rPr>
            </w:pPr>
          </w:p>
        </w:tc>
      </w:tr>
      <w:tr w14:paraId="383F6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0" w:hRule="atLeast"/>
        </w:trPr>
        <w:tc>
          <w:tcPr>
            <w:tcW w:w="2168" w:type="dxa"/>
            <w:shd w:val="clear" w:color="auto" w:fill="auto"/>
            <w:noWrap w:val="0"/>
            <w:vAlign w:val="center"/>
          </w:tcPr>
          <w:p w14:paraId="1CFC6475">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r>
              <w:rPr>
                <w:rFonts w:hint="eastAsia" w:ascii="Times New Roman" w:hAnsi="Times New Roman" w:eastAsia="仿宋_GB2312"/>
                <w:sz w:val="32"/>
                <w:szCs w:val="32"/>
              </w:rPr>
              <w:t>奖项主办方、获奖等级、获奖名称等说明</w:t>
            </w:r>
          </w:p>
        </w:tc>
        <w:tc>
          <w:tcPr>
            <w:tcW w:w="6567" w:type="dxa"/>
            <w:gridSpan w:val="3"/>
            <w:shd w:val="clear" w:color="auto" w:fill="auto"/>
            <w:noWrap w:val="0"/>
            <w:vAlign w:val="center"/>
          </w:tcPr>
          <w:p w14:paraId="58308392">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p>
        </w:tc>
      </w:tr>
      <w:tr w14:paraId="1D506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168" w:type="dxa"/>
            <w:shd w:val="clear" w:color="auto" w:fill="auto"/>
            <w:noWrap w:val="0"/>
            <w:vAlign w:val="center"/>
          </w:tcPr>
          <w:p w14:paraId="0BDE4453">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r>
              <w:rPr>
                <w:rFonts w:hint="eastAsia" w:ascii="Times New Roman" w:hAnsi="Times New Roman" w:eastAsia="仿宋_GB2312"/>
                <w:sz w:val="32"/>
                <w:szCs w:val="32"/>
              </w:rPr>
              <w:t>备</w:t>
            </w:r>
            <w:r>
              <w:rPr>
                <w:rFonts w:ascii="Times New Roman" w:hAnsi="Times New Roman" w:eastAsia="仿宋_GB2312"/>
                <w:sz w:val="32"/>
                <w:szCs w:val="32"/>
              </w:rPr>
              <w:t xml:space="preserve">  </w:t>
            </w:r>
            <w:r>
              <w:rPr>
                <w:rFonts w:hint="eastAsia" w:ascii="Times New Roman" w:hAnsi="Times New Roman" w:eastAsia="仿宋_GB2312"/>
                <w:sz w:val="32"/>
                <w:szCs w:val="32"/>
              </w:rPr>
              <w:t>注</w:t>
            </w:r>
          </w:p>
        </w:tc>
        <w:tc>
          <w:tcPr>
            <w:tcW w:w="6567" w:type="dxa"/>
            <w:gridSpan w:val="3"/>
            <w:shd w:val="clear" w:color="auto" w:fill="auto"/>
            <w:noWrap w:val="0"/>
            <w:vAlign w:val="top"/>
          </w:tcPr>
          <w:p w14:paraId="4D2FD251">
            <w:pPr>
              <w:pStyle w:val="6"/>
              <w:widowControl w:val="0"/>
              <w:spacing w:before="0" w:beforeAutospacing="0" w:after="0" w:afterAutospacing="0" w:line="640" w:lineRule="exact"/>
              <w:jc w:val="center"/>
              <w:textAlignment w:val="top"/>
              <w:rPr>
                <w:rFonts w:ascii="方正小标宋_GBK" w:hAnsi="方正大标宋_GBK" w:eastAsia="方正小标宋_GBK" w:cs="Times New Roman"/>
                <w:bCs/>
                <w:w w:val="90"/>
                <w:sz w:val="44"/>
                <w:szCs w:val="44"/>
              </w:rPr>
            </w:pPr>
          </w:p>
        </w:tc>
      </w:tr>
      <w:bookmarkEnd w:id="5"/>
    </w:tbl>
    <w:p w14:paraId="04038603">
      <w:pPr>
        <w:spacing w:line="560" w:lineRule="exact"/>
        <w:rPr>
          <w:rFonts w:hint="eastAsia" w:ascii="黑体" w:hAnsi="黑体" w:eastAsia="黑体"/>
          <w:sz w:val="32"/>
          <w:szCs w:val="32"/>
        </w:rPr>
      </w:pPr>
    </w:p>
    <w:sectPr>
      <w:footerReference r:id="rId4" w:type="default"/>
      <w:pgSz w:w="11906" w:h="16838"/>
      <w:pgMar w:top="2098" w:right="1474" w:bottom="181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96E4ECD-E15B-47FD-9DBC-12EBDB111D9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A61BA6A-B28C-459E-8768-6A34AEB04611}"/>
  </w:font>
  <w:font w:name="方正仿宋_GBK">
    <w:panose1 w:val="03000509000000000000"/>
    <w:charset w:val="86"/>
    <w:family w:val="auto"/>
    <w:pitch w:val="default"/>
    <w:sig w:usb0="00000001" w:usb1="080E0000" w:usb2="00000000" w:usb3="00000000" w:csb0="00040000" w:csb1="00000000"/>
    <w:embedRegular r:id="rId3" w:fontKey="{28B6E3CF-E863-4F79-92E3-1F285E55503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embedRegular r:id="rId4" w:fontKey="{578BC08F-B50C-45C2-9952-B32EA980ABF7}"/>
  </w:font>
  <w:font w:name="方正小标宋_GBK">
    <w:panose1 w:val="03000509000000000000"/>
    <w:charset w:val="86"/>
    <w:family w:val="script"/>
    <w:pitch w:val="default"/>
    <w:sig w:usb0="00000001" w:usb1="080E0000" w:usb2="00000000" w:usb3="00000000" w:csb0="00040000" w:csb1="00000000"/>
    <w:embedRegular r:id="rId5" w:fontKey="{8D9FD74B-58EF-4B38-8C29-FC5CC98166B1}"/>
  </w:font>
  <w:font w:name="楷体">
    <w:panose1 w:val="02010609060101010101"/>
    <w:charset w:val="86"/>
    <w:family w:val="modern"/>
    <w:pitch w:val="default"/>
    <w:sig w:usb0="800002BF" w:usb1="38CF7CFA" w:usb2="00000016" w:usb3="00000000" w:csb0="00040001" w:csb1="00000000"/>
    <w:embedRegular r:id="rId6" w:fontKey="{3CF950DD-3DAF-4ECC-A363-395AB4ABE58D}"/>
  </w:font>
  <w:font w:name="方正大标宋_GBK">
    <w:panose1 w:val="03000509000000000000"/>
    <w:charset w:val="86"/>
    <w:family w:val="auto"/>
    <w:pitch w:val="default"/>
    <w:sig w:usb0="00000001" w:usb1="080E0000" w:usb2="00000000" w:usb3="00000000" w:csb0="00040000" w:csb1="00000000"/>
    <w:embedRegular r:id="rId7" w:fontKey="{F7F85DAB-1226-4134-992D-C9C50E94596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29D64">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118B87">
                          <w:pPr>
                            <w:pStyle w:val="4"/>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6F118B87">
                    <w:pPr>
                      <w:pStyle w:val="4"/>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5801C">
    <w:pPr>
      <w:pStyle w:val="4"/>
      <w:jc w:val="center"/>
      <w:rPr>
        <w:rFonts w:ascii="宋体" w:hAnsi="宋体"/>
        <w:sz w:val="28"/>
        <w:szCs w:val="28"/>
      </w:rPr>
    </w:pP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8</w:t>
    </w:r>
    <w:r>
      <w:rPr>
        <w:rFonts w:ascii="宋体" w:hAnsi="宋体"/>
        <w:sz w:val="28"/>
        <w:szCs w:val="28"/>
      </w:rPr>
      <w:fldChar w:fldCharType="end"/>
    </w:r>
    <w:r>
      <w:rPr>
        <w:rFonts w:hint="eastAsia" w:ascii="宋体" w:hAnsi="宋体"/>
        <w:sz w:val="28"/>
        <w:szCs w:val="28"/>
      </w:rPr>
      <w:t xml:space="preserve"> —</w:t>
    </w:r>
  </w:p>
  <w:p w14:paraId="466E7073">
    <w:pPr>
      <w:pStyle w:val="4"/>
      <w:jc w:val="center"/>
      <w:rPr>
        <w:rFonts w:ascii="仿宋_GB2312" w:eastAsia="仿宋_GB2312"/>
        <w:sz w:val="28"/>
        <w:szCs w:val="28"/>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wY2IxZjFhYmI3NTA0OTRjMDQzMTI2ZGNkYWQwNzgifQ=="/>
  </w:docVars>
  <w:rsids>
    <w:rsidRoot w:val="00172A27"/>
    <w:rsid w:val="00030510"/>
    <w:rsid w:val="000E7030"/>
    <w:rsid w:val="001B2C61"/>
    <w:rsid w:val="001B5E52"/>
    <w:rsid w:val="00240988"/>
    <w:rsid w:val="00276DEF"/>
    <w:rsid w:val="00347C5F"/>
    <w:rsid w:val="004B0C4A"/>
    <w:rsid w:val="004E10C3"/>
    <w:rsid w:val="005467DA"/>
    <w:rsid w:val="00577AB4"/>
    <w:rsid w:val="005C24A5"/>
    <w:rsid w:val="006038AE"/>
    <w:rsid w:val="006F4CE3"/>
    <w:rsid w:val="0071249D"/>
    <w:rsid w:val="007372AB"/>
    <w:rsid w:val="007D34FC"/>
    <w:rsid w:val="008260B7"/>
    <w:rsid w:val="00826FCD"/>
    <w:rsid w:val="00881780"/>
    <w:rsid w:val="008B53E6"/>
    <w:rsid w:val="008F4B63"/>
    <w:rsid w:val="00955BDC"/>
    <w:rsid w:val="00984505"/>
    <w:rsid w:val="00A54913"/>
    <w:rsid w:val="00A765B0"/>
    <w:rsid w:val="00A853B2"/>
    <w:rsid w:val="00BA4375"/>
    <w:rsid w:val="00BB773C"/>
    <w:rsid w:val="00BD2178"/>
    <w:rsid w:val="00BF0CD0"/>
    <w:rsid w:val="00BF2899"/>
    <w:rsid w:val="00C81542"/>
    <w:rsid w:val="00D00AF7"/>
    <w:rsid w:val="00D24172"/>
    <w:rsid w:val="00D444BD"/>
    <w:rsid w:val="00DC4800"/>
    <w:rsid w:val="00E272A8"/>
    <w:rsid w:val="00E37F0B"/>
    <w:rsid w:val="00E5508D"/>
    <w:rsid w:val="00E97D3C"/>
    <w:rsid w:val="00F06DFC"/>
    <w:rsid w:val="00F228B8"/>
    <w:rsid w:val="00F53088"/>
    <w:rsid w:val="00F84595"/>
    <w:rsid w:val="00FE38D1"/>
    <w:rsid w:val="08DD0672"/>
    <w:rsid w:val="09493A87"/>
    <w:rsid w:val="0A9450C5"/>
    <w:rsid w:val="0CEA48D4"/>
    <w:rsid w:val="0FE557A4"/>
    <w:rsid w:val="13C93BFE"/>
    <w:rsid w:val="16466F8A"/>
    <w:rsid w:val="18A03457"/>
    <w:rsid w:val="18A17B36"/>
    <w:rsid w:val="20C054F3"/>
    <w:rsid w:val="20E97AC1"/>
    <w:rsid w:val="214A336C"/>
    <w:rsid w:val="23431CDF"/>
    <w:rsid w:val="23793C2C"/>
    <w:rsid w:val="24335B6F"/>
    <w:rsid w:val="291C0050"/>
    <w:rsid w:val="2A306279"/>
    <w:rsid w:val="2E3F18F3"/>
    <w:rsid w:val="2F217537"/>
    <w:rsid w:val="32160521"/>
    <w:rsid w:val="321A38F3"/>
    <w:rsid w:val="340B482F"/>
    <w:rsid w:val="364C77AB"/>
    <w:rsid w:val="38EB42CB"/>
    <w:rsid w:val="3A18041C"/>
    <w:rsid w:val="3E1E7CDC"/>
    <w:rsid w:val="409A6822"/>
    <w:rsid w:val="425F7AEC"/>
    <w:rsid w:val="48AF1864"/>
    <w:rsid w:val="4B583FB6"/>
    <w:rsid w:val="4CFC0F06"/>
    <w:rsid w:val="4D3B60DD"/>
    <w:rsid w:val="4DC851D6"/>
    <w:rsid w:val="4E625E0D"/>
    <w:rsid w:val="4E6C5236"/>
    <w:rsid w:val="56022F61"/>
    <w:rsid w:val="564A39F3"/>
    <w:rsid w:val="58994A71"/>
    <w:rsid w:val="5AF62CDD"/>
    <w:rsid w:val="5BBC3DA5"/>
    <w:rsid w:val="5CDC6BC8"/>
    <w:rsid w:val="5D277378"/>
    <w:rsid w:val="620C2981"/>
    <w:rsid w:val="66314EFD"/>
    <w:rsid w:val="6B193A43"/>
    <w:rsid w:val="73EC5908"/>
    <w:rsid w:val="75CA099C"/>
    <w:rsid w:val="77E9454A"/>
    <w:rsid w:val="7F6E55B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Date"/>
    <w:basedOn w:val="1"/>
    <w:next w:val="1"/>
    <w:qFormat/>
    <w:uiPriority w:val="0"/>
    <w:pPr>
      <w:ind w:left="100" w:leftChars="2500"/>
    </w:pPr>
    <w:rPr>
      <w:sz w:val="32"/>
    </w:rPr>
  </w:style>
  <w:style w:type="paragraph" w:styleId="3">
    <w:name w:val="Balloon Text"/>
    <w:basedOn w:val="1"/>
    <w:link w:val="14"/>
    <w:uiPriority w:val="0"/>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7">
    <w:name w:val="Title"/>
    <w:basedOn w:val="1"/>
    <w:next w:val="1"/>
    <w:qFormat/>
    <w:uiPriority w:val="99"/>
    <w:pPr>
      <w:spacing w:before="100" w:beforeAutospacing="1" w:after="100" w:afterAutospacing="1"/>
      <w:ind w:left="640" w:leftChars="200"/>
      <w:outlineLvl w:val="0"/>
    </w:pPr>
    <w:rPr>
      <w:rFonts w:ascii="Cambria" w:hAnsi="Cambria" w:cs="Times New Roman"/>
      <w:b/>
      <w:bCs/>
      <w:kern w:val="0"/>
      <w:sz w:val="32"/>
      <w:szCs w:val="32"/>
    </w:rPr>
  </w:style>
  <w:style w:type="table" w:styleId="9">
    <w:name w:val="Table Grid"/>
    <w:basedOn w:val="8"/>
    <w:qFormat/>
    <w:uiPriority w:val="39"/>
    <w:pPr>
      <w:keepNext w:val="0"/>
      <w:keepLines w:val="0"/>
      <w:widowControl/>
      <w:suppressLineNumbers w:val="0"/>
      <w:spacing w:before="0" w:beforeAutospacing="0" w:after="0" w:afterAutospacing="0"/>
      <w:ind w:left="0" w:right="0"/>
    </w:pPr>
    <w:rPr>
      <w:rFonts w:hint="default" w:ascii="Calibri" w:hAnsi="Calibri" w:cs="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page number"/>
    <w:qFormat/>
    <w:uiPriority w:val="0"/>
  </w:style>
  <w:style w:type="character" w:customStyle="1" w:styleId="12">
    <w:name w:val="font11"/>
    <w:qFormat/>
    <w:uiPriority w:val="0"/>
    <w:rPr>
      <w:rFonts w:ascii="Calibri" w:hAnsi="Calibri" w:cs="Calibri"/>
      <w:color w:val="000000"/>
      <w:sz w:val="22"/>
      <w:szCs w:val="22"/>
      <w:u w:val="none"/>
    </w:rPr>
  </w:style>
  <w:style w:type="character" w:customStyle="1" w:styleId="13">
    <w:name w:val="font21"/>
    <w:qFormat/>
    <w:uiPriority w:val="0"/>
    <w:rPr>
      <w:rFonts w:hint="eastAsia" w:ascii="宋体" w:hAnsi="宋体" w:eastAsia="宋体" w:cs="宋体"/>
      <w:color w:val="000000"/>
      <w:sz w:val="22"/>
      <w:szCs w:val="22"/>
      <w:u w:val="none"/>
    </w:rPr>
  </w:style>
  <w:style w:type="character" w:customStyle="1" w:styleId="14">
    <w:name w:val="批注框文本 Char"/>
    <w:link w:val="3"/>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2619</Words>
  <Characters>2767</Characters>
  <Lines>20</Lines>
  <Paragraphs>5</Paragraphs>
  <TotalTime>36</TotalTime>
  <ScaleCrop>false</ScaleCrop>
  <LinksUpToDate>false</LinksUpToDate>
  <CharactersWithSpaces>2796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2022-04-22T06:30:00Z</dcterms:created>
  <dc:creator>Administrator</dc:creator>
  <cp:lastModifiedBy>Administrator</cp:lastModifiedBy>
  <cp:lastPrinted>2026-09-11T01:28:00Z</cp:lastPrinted>
  <dcterms:modified xsi:type="dcterms:W3CDTF">2026-09-11T09:01:26Z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3AC2FEFECFA34AEEAAD6D7B9F4C1FF0B_13</vt:lpwstr>
  </property>
  <property fmtid="{D5CDD505-2E9C-101B-9397-08002B2CF9AE}" pid="4" name="KSOTemplateDocerSaveRecord">
    <vt:lpwstr>eyJoZGlkIjoiYjQ4OWNlYmFhNzY0NGRkZmE3OTlhN2Q0ZTg1Mzk5MzQifQ==</vt:lpwstr>
  </property>
</Properties>
</file>